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A571D" w14:textId="4E4BAD91" w:rsidR="00C17E33" w:rsidRDefault="005875DA" w:rsidP="00C17E33">
      <w:pPr>
        <w:pStyle w:val="CRCoverPage"/>
        <w:tabs>
          <w:tab w:val="right" w:pos="9639"/>
        </w:tabs>
        <w:spacing w:after="0"/>
        <w:rPr>
          <w:b/>
          <w:i/>
          <w:noProof/>
          <w:sz w:val="28"/>
        </w:rPr>
      </w:pPr>
      <w:r w:rsidRPr="00800E83">
        <w:rPr>
          <w:b/>
          <w:bCs/>
          <w:noProof/>
          <w:sz w:val="24"/>
        </w:rPr>
        <w:t>3GPP TSG-RAN WG</w:t>
      </w:r>
      <w:r>
        <w:rPr>
          <w:b/>
          <w:bCs/>
          <w:noProof/>
          <w:sz w:val="24"/>
        </w:rPr>
        <w:t>1</w:t>
      </w:r>
      <w:r w:rsidRPr="00800E83">
        <w:rPr>
          <w:b/>
          <w:bCs/>
          <w:noProof/>
          <w:sz w:val="24"/>
        </w:rPr>
        <w:t xml:space="preserve"> Meeting #</w:t>
      </w:r>
      <w:r>
        <w:rPr>
          <w:b/>
          <w:bCs/>
          <w:noProof/>
          <w:sz w:val="24"/>
        </w:rPr>
        <w:t>11</w:t>
      </w:r>
      <w:r w:rsidR="000D6142">
        <w:rPr>
          <w:b/>
          <w:bCs/>
          <w:noProof/>
          <w:sz w:val="24"/>
        </w:rPr>
        <w:t>2</w:t>
      </w:r>
      <w:r>
        <w:rPr>
          <w:b/>
          <w:i/>
          <w:noProof/>
          <w:sz w:val="28"/>
        </w:rPr>
        <w:tab/>
      </w:r>
      <w:bookmarkStart w:id="0" w:name="_Hlk126658176"/>
      <w:r w:rsidRPr="0086351B">
        <w:rPr>
          <w:rFonts w:hint="eastAsia"/>
          <w:b/>
          <w:bCs/>
          <w:iCs/>
          <w:noProof/>
          <w:sz w:val="28"/>
        </w:rPr>
        <w:t>R</w:t>
      </w:r>
      <w:r w:rsidRPr="0086351B">
        <w:rPr>
          <w:b/>
          <w:bCs/>
          <w:iCs/>
          <w:noProof/>
          <w:sz w:val="28"/>
        </w:rPr>
        <w:t>1</w:t>
      </w:r>
      <w:r w:rsidRPr="0086351B">
        <w:rPr>
          <w:rFonts w:hint="eastAsia"/>
          <w:b/>
          <w:bCs/>
          <w:iCs/>
          <w:noProof/>
          <w:sz w:val="28"/>
        </w:rPr>
        <w:t>-</w:t>
      </w:r>
      <w:r w:rsidRPr="0086351B">
        <w:rPr>
          <w:b/>
          <w:bCs/>
          <w:iCs/>
          <w:noProof/>
          <w:sz w:val="28"/>
        </w:rPr>
        <w:t>22</w:t>
      </w:r>
      <w:bookmarkEnd w:id="0"/>
      <w:r w:rsidR="0086351B">
        <w:rPr>
          <w:b/>
          <w:bCs/>
          <w:iCs/>
          <w:noProof/>
          <w:sz w:val="28"/>
        </w:rPr>
        <w:t>01059</w:t>
      </w:r>
    </w:p>
    <w:p w14:paraId="405281E5" w14:textId="39E97A81" w:rsidR="005875DA" w:rsidRPr="00C17E33" w:rsidRDefault="000D6142" w:rsidP="00C17E33">
      <w:pPr>
        <w:pStyle w:val="CRCoverPage"/>
        <w:tabs>
          <w:tab w:val="right" w:pos="9639"/>
        </w:tabs>
        <w:spacing w:after="0"/>
        <w:rPr>
          <w:b/>
          <w:i/>
          <w:noProof/>
          <w:sz w:val="28"/>
        </w:rPr>
      </w:pPr>
      <w:r w:rsidRPr="000D6142">
        <w:rPr>
          <w:b/>
          <w:noProof/>
          <w:sz w:val="24"/>
        </w:rPr>
        <w:t>Athens, Greece, 27th Feb – 3rd Mar, 2023</w:t>
      </w:r>
    </w:p>
    <w:p w14:paraId="2CFE1919" w14:textId="77777777" w:rsidR="00850D96" w:rsidRPr="0000574B" w:rsidRDefault="00850D96" w:rsidP="00CA26CE">
      <w:pPr>
        <w:pStyle w:val="Header"/>
        <w:rPr>
          <w:bCs/>
          <w:noProof w:val="0"/>
          <w:sz w:val="24"/>
          <w:lang w:val="en-GB" w:eastAsia="ja-JP"/>
        </w:rPr>
      </w:pPr>
    </w:p>
    <w:p w14:paraId="30E02941" w14:textId="644CD8B4" w:rsidR="0034111C" w:rsidRPr="0000574B" w:rsidRDefault="0034111C" w:rsidP="16512788">
      <w:pPr>
        <w:pStyle w:val="CRCoverPage"/>
        <w:rPr>
          <w:rFonts w:cs="MS Mincho"/>
          <w:b/>
          <w:sz w:val="24"/>
          <w:szCs w:val="24"/>
          <w:lang w:eastAsia="ja-JP"/>
        </w:rPr>
      </w:pPr>
      <w:r w:rsidRPr="00910DCB">
        <w:rPr>
          <w:rFonts w:cs="MS Mincho"/>
          <w:b/>
          <w:sz w:val="24"/>
          <w:szCs w:val="24"/>
        </w:rPr>
        <w:t>Agenda item:</w:t>
      </w:r>
      <w:r w:rsidRPr="00910DCB">
        <w:rPr>
          <w:rFonts w:cs="MS Mincho"/>
          <w:b/>
          <w:sz w:val="24"/>
        </w:rPr>
        <w:tab/>
      </w:r>
      <w:r w:rsidRPr="00910DCB">
        <w:rPr>
          <w:rFonts w:cs="MS Mincho"/>
          <w:b/>
          <w:sz w:val="24"/>
        </w:rPr>
        <w:tab/>
      </w:r>
      <w:r w:rsidR="00910DCB" w:rsidRPr="00910DCB">
        <w:rPr>
          <w:rFonts w:cs="MS Mincho"/>
          <w:b/>
          <w:sz w:val="24"/>
        </w:rPr>
        <w:t>9</w:t>
      </w:r>
      <w:r w:rsidR="006F5F1F" w:rsidRPr="00910DCB">
        <w:rPr>
          <w:rFonts w:cs="MS Mincho"/>
          <w:b/>
          <w:sz w:val="24"/>
        </w:rPr>
        <w:t>.</w:t>
      </w:r>
      <w:r w:rsidR="001864B0">
        <w:rPr>
          <w:rFonts w:cs="MS Mincho"/>
          <w:b/>
          <w:sz w:val="24"/>
        </w:rPr>
        <w:t>9</w:t>
      </w:r>
      <w:r w:rsidR="00910DCB" w:rsidRPr="00910DCB">
        <w:rPr>
          <w:rFonts w:cs="MS Mincho"/>
          <w:b/>
          <w:sz w:val="24"/>
        </w:rPr>
        <w:t>.</w:t>
      </w:r>
      <w:r w:rsidR="009A7A28">
        <w:rPr>
          <w:rFonts w:cs="MS Mincho"/>
          <w:b/>
          <w:sz w:val="24"/>
        </w:rPr>
        <w:t>2</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600E6714" w14:textId="77777777" w:rsidR="009A7A28" w:rsidRDefault="009A7A28" w:rsidP="009A7A28">
      <w:pPr>
        <w:ind w:left="1985" w:hanging="1985"/>
        <w:rPr>
          <w:rFonts w:ascii="Arial" w:hAnsi="Arial" w:cs="Arial"/>
          <w:b/>
          <w:bCs/>
          <w:sz w:val="24"/>
          <w:szCs w:val="24"/>
        </w:rPr>
      </w:pPr>
      <w:r w:rsidRPr="2325A28D">
        <w:rPr>
          <w:rFonts w:ascii="Arial" w:hAnsi="Arial" w:cs="Arial"/>
          <w:b/>
          <w:bCs/>
          <w:sz w:val="24"/>
          <w:szCs w:val="24"/>
        </w:rPr>
        <w:t>Title:</w:t>
      </w:r>
      <w:r>
        <w:tab/>
      </w:r>
      <w:r w:rsidRPr="006D5E99">
        <w:rPr>
          <w:rFonts w:ascii="Arial" w:hAnsi="Arial" w:cs="Arial"/>
          <w:b/>
          <w:bCs/>
          <w:sz w:val="24"/>
          <w:szCs w:val="24"/>
        </w:rPr>
        <w:t>On Multi-Carrier UL Tx Switching</w:t>
      </w:r>
    </w:p>
    <w:p w14:paraId="28A66A0E" w14:textId="77777777" w:rsidR="009A7A28" w:rsidRDefault="009A7A28" w:rsidP="009A7A28">
      <w:pPr>
        <w:ind w:left="1985" w:hanging="1985"/>
        <w:rPr>
          <w:rFonts w:ascii="Arial" w:hAnsi="Arial" w:cs="Arial"/>
          <w:b/>
          <w:sz w:val="24"/>
          <w:szCs w:val="24"/>
        </w:rPr>
      </w:pPr>
      <w:r>
        <w:rPr>
          <w:rFonts w:ascii="Arial" w:hAnsi="Arial" w:cs="Arial"/>
          <w:b/>
          <w:bCs/>
          <w:sz w:val="24"/>
        </w:rPr>
        <w:t>WI code:</w:t>
      </w:r>
      <w:r>
        <w:rPr>
          <w:rFonts w:ascii="Arial" w:hAnsi="Arial" w:cs="Arial"/>
          <w:b/>
          <w:bCs/>
          <w:sz w:val="24"/>
        </w:rPr>
        <w:tab/>
      </w:r>
      <w:proofErr w:type="spellStart"/>
      <w:r w:rsidRPr="006D5E99">
        <w:rPr>
          <w:rFonts w:ascii="Arial" w:hAnsi="Arial" w:cs="Arial"/>
          <w:b/>
          <w:bCs/>
          <w:sz w:val="24"/>
        </w:rPr>
        <w:t>NR_MC_enh</w:t>
      </w:r>
      <w:proofErr w:type="spellEnd"/>
      <w:r w:rsidRPr="006D5E99">
        <w:rPr>
          <w:rFonts w:ascii="Arial" w:hAnsi="Arial" w:cs="Arial"/>
          <w:b/>
          <w:bCs/>
          <w:sz w:val="24"/>
        </w:rPr>
        <w:t>-Core</w:t>
      </w:r>
      <w:r w:rsidRPr="0000574B">
        <w:rPr>
          <w:rFonts w:ascii="Arial" w:hAnsi="Arial" w:cs="Arial"/>
          <w:b/>
          <w:sz w:val="24"/>
          <w:szCs w:val="24"/>
        </w:rPr>
        <w:t xml:space="preserve"> </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00574B" w:rsidRDefault="00EE7FA7" w:rsidP="0014774A">
      <w:pPr>
        <w:pStyle w:val="Heading1"/>
        <w:ind w:left="426"/>
      </w:pPr>
      <w:r w:rsidRPr="0000574B">
        <w:t>Introduction</w:t>
      </w:r>
    </w:p>
    <w:p w14:paraId="260C8D6F" w14:textId="27694AEA" w:rsidR="005B0763" w:rsidRDefault="00524072" w:rsidP="005134BA">
      <w:bookmarkStart w:id="1" w:name="_Hlk510705081"/>
      <w:r>
        <w:t>This contribution discusses the configuration of the location of the switching period in UL Tx Switching, and the minimum separation of two uplink Tx Switches.</w:t>
      </w:r>
    </w:p>
    <w:p w14:paraId="793BF1E1" w14:textId="4CBF32C9" w:rsidR="00B94601" w:rsidRDefault="00B94601" w:rsidP="00B94601">
      <w:pPr>
        <w:keepNext/>
        <w:keepLines/>
        <w:numPr>
          <w:ilvl w:val="0"/>
          <w:numId w:val="1"/>
        </w:numPr>
        <w:pBdr>
          <w:top w:val="single" w:sz="12" w:space="3" w:color="auto"/>
        </w:pBdr>
        <w:spacing w:before="240"/>
        <w:outlineLvl w:val="0"/>
        <w:rPr>
          <w:rFonts w:ascii="Arial" w:hAnsi="Arial"/>
          <w:sz w:val="36"/>
        </w:rPr>
      </w:pPr>
      <w:r w:rsidRPr="006D2BC7">
        <w:rPr>
          <w:rFonts w:ascii="Arial" w:hAnsi="Arial"/>
          <w:sz w:val="36"/>
        </w:rPr>
        <w:t>Discussion</w:t>
      </w:r>
    </w:p>
    <w:p w14:paraId="4464218A" w14:textId="77777777" w:rsidR="00D01846" w:rsidRDefault="00D01846" w:rsidP="00D01846">
      <w:pPr>
        <w:pStyle w:val="Heading2"/>
      </w:pPr>
      <w:r>
        <w:t>Location of the switching period</w:t>
      </w:r>
    </w:p>
    <w:p w14:paraId="3CF8E3C6" w14:textId="1D278618" w:rsidR="00680A74" w:rsidRDefault="00B95B06" w:rsidP="00680A74">
      <w:pPr>
        <w:pStyle w:val="Heading3"/>
        <w:ind w:left="709"/>
      </w:pPr>
      <w:r>
        <w:t>Ambiguity in the c</w:t>
      </w:r>
      <w:r w:rsidR="00680A74">
        <w:t>urrent specification</w:t>
      </w:r>
    </w:p>
    <w:p w14:paraId="7518AF75" w14:textId="0CA656AE" w:rsidR="004C4B60" w:rsidRDefault="0099249E" w:rsidP="00D01846">
      <w:r>
        <w:t xml:space="preserve">The TS </w:t>
      </w:r>
      <w:r w:rsidR="00722CCB">
        <w:t>38.214 su</w:t>
      </w:r>
      <w:r w:rsidR="000E7F7F">
        <w:t>b</w:t>
      </w:r>
      <w:r w:rsidR="00722CCB">
        <w:t>clause 6.1.6 states that “</w:t>
      </w:r>
      <w:r w:rsidR="00722CCB" w:rsidRPr="0099249E">
        <w:rPr>
          <w:color w:val="5B9BD5" w:themeColor="accent1"/>
        </w:rPr>
        <w:t xml:space="preserve">the conditions under which the switching gap may be </w:t>
      </w:r>
      <w:proofErr w:type="gramStart"/>
      <w:r w:rsidR="00722CCB" w:rsidRPr="0099249E">
        <w:rPr>
          <w:color w:val="5B9BD5" w:themeColor="accent1"/>
        </w:rPr>
        <w:t>present</w:t>
      </w:r>
      <w:proofErr w:type="gramEnd"/>
      <w:r w:rsidR="00722CCB" w:rsidRPr="0099249E">
        <w:rPr>
          <w:color w:val="5B9BD5" w:themeColor="accent1"/>
        </w:rPr>
        <w:t xml:space="preserve"> </w:t>
      </w:r>
      <w:r w:rsidR="00722CCB" w:rsidRPr="0099249E">
        <w:rPr>
          <w:b/>
          <w:bCs/>
          <w:color w:val="5B9BD5" w:themeColor="accent1"/>
        </w:rPr>
        <w:t>and the location of the switching gap are defined for each of the cases in clauses 6.1.6.1, 6.1.6.2, and 6.1.6.3</w:t>
      </w:r>
      <w:r w:rsidR="00722CCB" w:rsidRPr="0099249E">
        <w:rPr>
          <w:color w:val="5B9BD5" w:themeColor="accent1"/>
        </w:rPr>
        <w:t xml:space="preserve"> respectively.</w:t>
      </w:r>
      <w:r w:rsidRPr="0099249E">
        <w:rPr>
          <w:color w:val="5B9BD5" w:themeColor="accent1"/>
        </w:rPr>
        <w:t>”</w:t>
      </w:r>
      <w:r w:rsidR="004C4B60">
        <w:t xml:space="preserve">, but the clauses 6.1.6.x only define the </w:t>
      </w:r>
      <w:r w:rsidR="00C962EB">
        <w:t>duration</w:t>
      </w:r>
      <w:r w:rsidR="004C4B60">
        <w:t xml:space="preserve"> of the switching gap, not the exact location.</w:t>
      </w:r>
    </w:p>
    <w:p w14:paraId="2D097866" w14:textId="05064173" w:rsidR="0039138D" w:rsidRDefault="0039138D" w:rsidP="0039138D">
      <w:r>
        <w:t>For EN-DC-based UL Tx switching the TS 38-101-3 subclause 6.3B.4 defines the switching period location relative to the E-UTRAN subframe boundary so that the switching period is always on the NR side of the E-UTRAN subframe boundary.</w:t>
      </w:r>
    </w:p>
    <w:tbl>
      <w:tblPr>
        <w:tblStyle w:val="TableGrid"/>
        <w:tblW w:w="0" w:type="auto"/>
        <w:tblLook w:val="04A0" w:firstRow="1" w:lastRow="0" w:firstColumn="1" w:lastColumn="0" w:noHBand="0" w:noVBand="1"/>
      </w:tblPr>
      <w:tblGrid>
        <w:gridCol w:w="9629"/>
      </w:tblGrid>
      <w:tr w:rsidR="0039138D" w14:paraId="7D330465" w14:textId="77777777" w:rsidTr="00C927C2">
        <w:tc>
          <w:tcPr>
            <w:tcW w:w="9629" w:type="dxa"/>
          </w:tcPr>
          <w:p w14:paraId="5F5CA11E" w14:textId="77777777" w:rsidR="0039138D" w:rsidRDefault="0039138D" w:rsidP="00C927C2">
            <w:pPr>
              <w:rPr>
                <w:lang w:eastAsia="zh-CN"/>
              </w:rPr>
            </w:pPr>
            <w:r>
              <w:t xml:space="preserve">The switching periods described in Figure </w:t>
            </w:r>
            <w:r>
              <w:rPr>
                <w:lang w:eastAsia="zh-CN"/>
              </w:rPr>
              <w:t xml:space="preserve">6.3B.4.1-1 </w:t>
            </w:r>
            <w:r>
              <w:t xml:space="preserve">are </w:t>
            </w:r>
            <w:r>
              <w:rPr>
                <w:lang w:eastAsia="zh-CN"/>
              </w:rPr>
              <w:t>only located</w:t>
            </w:r>
            <w:r>
              <w:t xml:space="preserve"> </w:t>
            </w:r>
            <w:r>
              <w:rPr>
                <w:lang w:eastAsia="zh-CN"/>
              </w:rPr>
              <w:t>in</w:t>
            </w:r>
            <w:r>
              <w:t xml:space="preserve"> NR carrier,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w:t>
            </w:r>
          </w:p>
          <w:p w14:paraId="7F9DE159" w14:textId="77777777" w:rsidR="0039138D" w:rsidRDefault="0039138D" w:rsidP="00C927C2">
            <w:pPr>
              <w:jc w:val="center"/>
              <w:rPr>
                <w:lang w:eastAsia="zh-CN"/>
              </w:rPr>
            </w:pPr>
            <w:r>
              <w:rPr>
                <w:noProof/>
                <w:lang w:eastAsia="zh-CN"/>
              </w:rPr>
              <w:drawing>
                <wp:inline distT="0" distB="0" distL="0" distR="0" wp14:anchorId="293C7F98" wp14:editId="10F7A916">
                  <wp:extent cx="5466080" cy="172656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6080" cy="1726565"/>
                          </a:xfrm>
                          <a:prstGeom prst="rect">
                            <a:avLst/>
                          </a:prstGeom>
                          <a:noFill/>
                          <a:ln>
                            <a:noFill/>
                          </a:ln>
                        </pic:spPr>
                      </pic:pic>
                    </a:graphicData>
                  </a:graphic>
                </wp:inline>
              </w:drawing>
            </w:r>
          </w:p>
          <w:p w14:paraId="66DB1149" w14:textId="77777777" w:rsidR="0039138D" w:rsidRDefault="0039138D" w:rsidP="00C927C2">
            <w:pPr>
              <w:pStyle w:val="TF"/>
              <w:rPr>
                <w:lang w:eastAsia="zh-CN"/>
              </w:rPr>
            </w:pPr>
            <w:r>
              <w:t xml:space="preserve">Figure 6.3B.4.1-1: </w:t>
            </w:r>
            <w:r>
              <w:rPr>
                <w:lang w:eastAsia="zh-CN"/>
              </w:rPr>
              <w:t>T</w:t>
            </w:r>
            <w:r>
              <w:t xml:space="preserve">ime mask for </w:t>
            </w:r>
            <w:r>
              <w:rPr>
                <w:lang w:eastAsia="zh-CN"/>
              </w:rPr>
              <w:t>s</w:t>
            </w:r>
            <w:r>
              <w:t xml:space="preserve">witching between E-UTRA </w:t>
            </w:r>
            <w:r>
              <w:rPr>
                <w:lang w:eastAsia="zh-CN"/>
              </w:rPr>
              <w:t xml:space="preserve">UL carrier </w:t>
            </w:r>
            <w:r>
              <w:t xml:space="preserve">and NR UL </w:t>
            </w:r>
            <w:r>
              <w:rPr>
                <w:lang w:eastAsia="zh-CN"/>
              </w:rPr>
              <w:t>c</w:t>
            </w:r>
            <w:r>
              <w:t>arrier</w:t>
            </w:r>
            <w:r>
              <w:rPr>
                <w:lang w:eastAsia="zh-CN"/>
              </w:rPr>
              <w:t xml:space="preserve">, where the switching period </w:t>
            </w:r>
            <w:proofErr w:type="gramStart"/>
            <w:r>
              <w:rPr>
                <w:lang w:eastAsia="zh-CN"/>
              </w:rPr>
              <w:t>is located in</w:t>
            </w:r>
            <w:proofErr w:type="gramEnd"/>
            <w:r>
              <w:t xml:space="preserve"> </w:t>
            </w:r>
            <w:r>
              <w:rPr>
                <w:lang w:eastAsia="zh-CN"/>
              </w:rPr>
              <w:t>NR carrier</w:t>
            </w:r>
          </w:p>
        </w:tc>
      </w:tr>
    </w:tbl>
    <w:p w14:paraId="6298C812" w14:textId="77777777" w:rsidR="0039138D" w:rsidRDefault="0039138D" w:rsidP="00D01846"/>
    <w:p w14:paraId="423EE0AA" w14:textId="4C6025E3" w:rsidR="00722CCB" w:rsidRPr="004E4FFC" w:rsidRDefault="0039138D" w:rsidP="004E4FFC">
      <w:r>
        <w:t>For CA and SUL-based UL Tx switching t</w:t>
      </w:r>
      <w:r w:rsidR="000E7F7F">
        <w:t>he</w:t>
      </w:r>
      <w:r w:rsidR="0099249E">
        <w:t xml:space="preserve"> TS 38.101-1 subclauses 6.3A.3.3 and 6.3C.3 define the location of the switching gap for CA and SUL-based UL Tx Switching with a set of figure pairs that relate to the configuration of </w:t>
      </w:r>
      <w:proofErr w:type="spellStart"/>
      <w:r w:rsidR="0099249E">
        <w:rPr>
          <w:i/>
          <w:iCs/>
        </w:rPr>
        <w:t>UplinkTxSwitchingPeriodLocation</w:t>
      </w:r>
      <w:proofErr w:type="spellEnd"/>
      <w:r w:rsidR="0099249E">
        <w:t xml:space="preserve">. </w:t>
      </w:r>
      <w:r w:rsidR="004C4B60">
        <w:t xml:space="preserve">The figures place a time instant at the boundary of slot/sub-slot, but </w:t>
      </w:r>
      <w:r w:rsidR="000424C8">
        <w:t>it is not obvious what constitutes as the slot/sub-slot boundary.</w:t>
      </w:r>
    </w:p>
    <w:tbl>
      <w:tblPr>
        <w:tblStyle w:val="TableGrid"/>
        <w:tblW w:w="0" w:type="auto"/>
        <w:tblLook w:val="04A0" w:firstRow="1" w:lastRow="0" w:firstColumn="1" w:lastColumn="0" w:noHBand="0" w:noVBand="1"/>
      </w:tblPr>
      <w:tblGrid>
        <w:gridCol w:w="9629"/>
      </w:tblGrid>
      <w:tr w:rsidR="0099249E" w14:paraId="59D0B302" w14:textId="77777777" w:rsidTr="0099249E">
        <w:tc>
          <w:tcPr>
            <w:tcW w:w="9629" w:type="dxa"/>
          </w:tcPr>
          <w:p w14:paraId="36702ED7" w14:textId="77777777" w:rsidR="0099249E" w:rsidRPr="00A33C2E" w:rsidRDefault="0099249E" w:rsidP="0099249E">
            <w:pPr>
              <w:rPr>
                <w:lang w:eastAsia="zh-CN"/>
              </w:rPr>
            </w:pPr>
            <w:r w:rsidRPr="00A33C2E">
              <w:lastRenderedPageBreak/>
              <w:t>The switching periods described in Figure 6.3</w:t>
            </w:r>
            <w:r w:rsidRPr="00A33C2E">
              <w:rPr>
                <w:rFonts w:hint="eastAsia"/>
                <w:lang w:eastAsia="zh-CN"/>
              </w:rPr>
              <w:t>A</w:t>
            </w:r>
            <w:r w:rsidRPr="00A33C2E">
              <w:t>.3.</w:t>
            </w:r>
            <w:r w:rsidRPr="00A33C2E">
              <w:rPr>
                <w:rFonts w:hint="eastAsia"/>
                <w:lang w:eastAsia="zh-CN"/>
              </w:rPr>
              <w:t>3.5</w:t>
            </w:r>
            <w:r w:rsidRPr="00A33C2E">
              <w:t>-1a and 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3.5</w:t>
            </w:r>
            <w:r w:rsidRPr="00A33C2E">
              <w:t>-1</w:t>
            </w:r>
            <w:r w:rsidRPr="00A33C2E">
              <w:rPr>
                <w:rFonts w:hint="eastAsia"/>
                <w:lang w:eastAsia="zh-CN"/>
              </w:rPr>
              <w:t>b</w:t>
            </w:r>
            <w:r w:rsidRPr="00A33C2E">
              <w:t xml:space="preserve"> </w:t>
            </w:r>
            <w:proofErr w:type="gramStart"/>
            <w:r w:rsidRPr="00A33C2E">
              <w:t xml:space="preserve">are </w:t>
            </w:r>
            <w:r w:rsidRPr="00A33C2E">
              <w:rPr>
                <w:rFonts w:hint="eastAsia"/>
                <w:lang w:eastAsia="zh-CN"/>
              </w:rPr>
              <w:t>located</w:t>
            </w:r>
            <w:r w:rsidRPr="00A33C2E">
              <w:t xml:space="preserve"> </w:t>
            </w:r>
            <w:r w:rsidRPr="00A33C2E">
              <w:rPr>
                <w:rFonts w:hint="eastAsia"/>
                <w:lang w:eastAsia="zh-CN"/>
              </w:rPr>
              <w:t>in</w:t>
            </w:r>
            <w:proofErr w:type="gramEnd"/>
            <w:r w:rsidRPr="00A33C2E">
              <w:t xml:space="preserve"> </w:t>
            </w:r>
            <w:r w:rsidRPr="00A33C2E">
              <w:rPr>
                <w:rFonts w:hint="eastAsia"/>
              </w:rPr>
              <w:t>either</w:t>
            </w:r>
            <w:r w:rsidRPr="00A33C2E">
              <w:t xml:space="preserve"> NR </w:t>
            </w:r>
            <w:r w:rsidRPr="00A33C2E">
              <w:rPr>
                <w:rFonts w:hint="eastAsia"/>
                <w:lang w:eastAsia="zh-CN"/>
              </w:rPr>
              <w:t>band A</w:t>
            </w:r>
            <w:r w:rsidRPr="00A33C2E">
              <w:rPr>
                <w:rFonts w:hint="eastAsia"/>
              </w:rPr>
              <w:t xml:space="preserve"> or </w:t>
            </w:r>
            <w:r w:rsidRPr="00A33C2E">
              <w:rPr>
                <w:rFonts w:hint="eastAsia"/>
                <w:lang w:eastAsia="zh-CN"/>
              </w:rPr>
              <w:t>band B</w:t>
            </w:r>
            <w:r w:rsidRPr="00A33C2E">
              <w:rPr>
                <w:rFonts w:hint="eastAsia"/>
              </w:rPr>
              <w:t xml:space="preserve">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lang w:eastAsia="zh-CN"/>
              </w:rPr>
              <w:t>uplinkTxSwitchingPeriodLocation</w:t>
            </w:r>
            <w:proofErr w:type="spellEnd"/>
            <w:r w:rsidRPr="00A33C2E">
              <w:rPr>
                <w:rFonts w:hint="eastAsia"/>
              </w:rPr>
              <w:t xml:space="preserve"> [</w:t>
            </w:r>
            <w:r w:rsidRPr="00A33C2E">
              <w:rPr>
                <w:rFonts w:hint="eastAsia"/>
                <w:lang w:eastAsia="zh-CN"/>
              </w:rPr>
              <w:t>7</w:t>
            </w:r>
            <w:r w:rsidRPr="00A33C2E">
              <w:rPr>
                <w:rFonts w:hint="eastAsia"/>
              </w:rPr>
              <w:t>]</w:t>
            </w:r>
            <w:r w:rsidRPr="00A33C2E">
              <w:t xml:space="preserve">, </w:t>
            </w:r>
            <w:r w:rsidRPr="00A33C2E">
              <w:rPr>
                <w:rFonts w:hint="eastAsia"/>
              </w:rPr>
              <w:t xml:space="preserve">and the length of </w:t>
            </w:r>
            <w:r w:rsidRPr="00A33C2E">
              <w:rPr>
                <w:rFonts w:hint="eastAsia"/>
                <w:lang w:eastAsia="zh-CN"/>
              </w:rPr>
              <w:t xml:space="preserve">uplink </w:t>
            </w:r>
            <w:r w:rsidRPr="00A33C2E">
              <w:rPr>
                <w:rFonts w:hint="eastAsia"/>
              </w:rPr>
              <w:t>switching period</w:t>
            </w:r>
            <w:r w:rsidRPr="00A33C2E">
              <w:t xml:space="preserve"> </w:t>
            </w:r>
            <w:r w:rsidRPr="00A33C2E">
              <w:rPr>
                <w:i/>
              </w:rPr>
              <w:t>X</w:t>
            </w:r>
            <w:r w:rsidRPr="00A33C2E">
              <w:t xml:space="preserve"> </w:t>
            </w:r>
            <w:r w:rsidRPr="00A33C2E">
              <w:rPr>
                <w:lang w:eastAsia="zh-CN"/>
              </w:rPr>
              <w:t xml:space="preserve">is less than the value indicated by </w:t>
            </w:r>
            <w:r w:rsidRPr="00A33C2E">
              <w:t xml:space="preserve">UE capability </w:t>
            </w:r>
            <w:r w:rsidRPr="002E7924">
              <w:rPr>
                <w:i/>
                <w:lang w:eastAsia="zh-CN"/>
              </w:rPr>
              <w:t>uplinkTxSwitchingPeriod2T2T</w:t>
            </w:r>
            <w:r w:rsidRPr="00A33C2E">
              <w:t>.</w:t>
            </w:r>
          </w:p>
          <w:p w14:paraId="08C1C327" w14:textId="77777777" w:rsidR="0099249E" w:rsidRPr="00A33C2E" w:rsidRDefault="0099249E" w:rsidP="0099249E">
            <w:pPr>
              <w:pStyle w:val="TH"/>
              <w:rPr>
                <w:noProof/>
                <w:lang w:val="sv-SE"/>
              </w:rPr>
            </w:pPr>
            <w:r w:rsidRPr="00A33C2E">
              <w:rPr>
                <w:noProof/>
                <w:lang w:val="en-US" w:eastAsia="zh-CN"/>
              </w:rPr>
              <w:drawing>
                <wp:inline distT="0" distB="0" distL="0" distR="0" wp14:anchorId="3D0511A7" wp14:editId="06830E09">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C6868DE" w14:textId="77777777" w:rsidR="0099249E" w:rsidRPr="00A33C2E" w:rsidRDefault="0099249E" w:rsidP="0099249E">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lang w:eastAsia="zh-CN"/>
              </w:rPr>
              <w:t>3.</w:t>
            </w:r>
            <w:r w:rsidRPr="00A33C2E">
              <w:rPr>
                <w:rFonts w:hint="eastAsia"/>
                <w:lang w:eastAsia="zh-CN"/>
              </w:rPr>
              <w:t>5</w:t>
            </w:r>
            <w:r w:rsidRPr="00A33C2E">
              <w:t xml:space="preserve">-1a: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 xml:space="preserve">two contiguous carriers in band B, where the switching period </w:t>
            </w:r>
            <w:proofErr w:type="gramStart"/>
            <w:r w:rsidRPr="00A33C2E">
              <w:rPr>
                <w:rFonts w:hint="eastAsia"/>
                <w:lang w:eastAsia="zh-CN"/>
              </w:rPr>
              <w:t>is located in</w:t>
            </w:r>
            <w:proofErr w:type="gramEnd"/>
            <w:r w:rsidRPr="00A33C2E">
              <w:rPr>
                <w:rFonts w:hint="eastAsia"/>
                <w:lang w:eastAsia="zh-CN"/>
              </w:rPr>
              <w:t xml:space="preserve"> band A</w:t>
            </w:r>
          </w:p>
          <w:p w14:paraId="1C8BBAE2" w14:textId="77777777" w:rsidR="0099249E" w:rsidRPr="00A33C2E" w:rsidRDefault="0099249E" w:rsidP="0099249E">
            <w:pPr>
              <w:pStyle w:val="TH"/>
              <w:rPr>
                <w:noProof/>
                <w:lang w:val="sv-SE"/>
              </w:rPr>
            </w:pPr>
            <w:r w:rsidRPr="00A33C2E">
              <w:rPr>
                <w:noProof/>
                <w:lang w:val="en-US" w:eastAsia="zh-CN"/>
              </w:rPr>
              <w:drawing>
                <wp:inline distT="0" distB="0" distL="0" distR="0" wp14:anchorId="6CBE24FE" wp14:editId="559E072E">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2588AC6" w14:textId="1C6814AF" w:rsidR="0099249E" w:rsidRDefault="0099249E" w:rsidP="00E5687B">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3.5</w:t>
            </w:r>
            <w:r w:rsidRPr="00A33C2E">
              <w:t>-1</w:t>
            </w:r>
            <w:r w:rsidRPr="00A33C2E">
              <w:rPr>
                <w:rFonts w:hint="eastAsia"/>
                <w:lang w:eastAsia="zh-CN"/>
              </w:rPr>
              <w:t>b</w:t>
            </w:r>
            <w:r w:rsidRPr="00A33C2E">
              <w:t xml:space="preserve">: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 xml:space="preserve">two contiguous carriers in band B, where the switching period </w:t>
            </w:r>
            <w:proofErr w:type="gramStart"/>
            <w:r w:rsidRPr="00A33C2E">
              <w:rPr>
                <w:rFonts w:hint="eastAsia"/>
                <w:lang w:eastAsia="zh-CN"/>
              </w:rPr>
              <w:t>is located in</w:t>
            </w:r>
            <w:proofErr w:type="gramEnd"/>
            <w:r w:rsidRPr="00A33C2E">
              <w:rPr>
                <w:rFonts w:hint="eastAsia"/>
                <w:lang w:eastAsia="zh-CN"/>
              </w:rPr>
              <w:t xml:space="preserve"> band B</w:t>
            </w:r>
          </w:p>
        </w:tc>
      </w:tr>
    </w:tbl>
    <w:p w14:paraId="1E049632" w14:textId="5587E2A6" w:rsidR="00722CCB" w:rsidRDefault="00722CCB" w:rsidP="00D01846"/>
    <w:p w14:paraId="54C7C24A" w14:textId="53121948" w:rsidR="00680A74" w:rsidRDefault="00680A74" w:rsidP="00D01846">
      <w:r>
        <w:rPr>
          <w:b/>
          <w:bCs/>
        </w:rPr>
        <w:t xml:space="preserve">Observation 1: </w:t>
      </w:r>
      <w:r w:rsidR="0039138D">
        <w:t xml:space="preserve">Contrary to the statement in clause 6.1.6, the TS </w:t>
      </w:r>
      <w:r>
        <w:t xml:space="preserve">38.214 does not define the </w:t>
      </w:r>
      <w:r w:rsidR="0039138D">
        <w:t>time-location of the switching period.</w:t>
      </w:r>
    </w:p>
    <w:p w14:paraId="7860AF2D" w14:textId="676421BA" w:rsidR="0039138D" w:rsidRPr="0039138D" w:rsidRDefault="0039138D" w:rsidP="00D01846">
      <w:r>
        <w:rPr>
          <w:b/>
          <w:bCs/>
        </w:rPr>
        <w:t xml:space="preserve">Observation 2: </w:t>
      </w:r>
      <w:r w:rsidR="006478E1">
        <w:t xml:space="preserve">For EN-DC based switching the </w:t>
      </w:r>
      <w:r>
        <w:t xml:space="preserve">TS 38-101-3 </w:t>
      </w:r>
      <w:r w:rsidR="004E4FFC">
        <w:t xml:space="preserve">unambiguously </w:t>
      </w:r>
      <w:r>
        <w:t>defines the switching period location relative to the E-UTRAN subframe boundary so that the switching period is always on the NR side of the sub-frame boundary.</w:t>
      </w:r>
      <w:r w:rsidR="009C3BD1">
        <w:t xml:space="preserve"> However, it is not clear what happens if the NR transmission doesn’t start right at the LTE sub-frame boundary.</w:t>
      </w:r>
    </w:p>
    <w:p w14:paraId="01F6F280" w14:textId="7B07F5DD" w:rsidR="00A804BB" w:rsidRDefault="00680A74" w:rsidP="00A804BB">
      <w:r>
        <w:rPr>
          <w:b/>
          <w:bCs/>
        </w:rPr>
        <w:t xml:space="preserve">Observation </w:t>
      </w:r>
      <w:r w:rsidR="00A804BB">
        <w:rPr>
          <w:b/>
          <w:bCs/>
        </w:rPr>
        <w:t>3</w:t>
      </w:r>
      <w:r>
        <w:t xml:space="preserve">: </w:t>
      </w:r>
      <w:r w:rsidR="006478E1">
        <w:t xml:space="preserve">For CA and SUL-based switching the TS </w:t>
      </w:r>
      <w:r>
        <w:t xml:space="preserve">38.101-1 defines whether the switching period </w:t>
      </w:r>
      <w:proofErr w:type="gramStart"/>
      <w:r>
        <w:t>is located in</w:t>
      </w:r>
      <w:proofErr w:type="gramEnd"/>
      <w:r>
        <w:t xml:space="preserve"> time before or after a switching reference point in time, but the </w:t>
      </w:r>
      <w:r w:rsidR="0039138D">
        <w:t>reference point used is a slot/sub-slot boundary, which is not clear</w:t>
      </w:r>
      <w:r w:rsidR="004E4FFC">
        <w:t>.</w:t>
      </w:r>
    </w:p>
    <w:p w14:paraId="0B05C903" w14:textId="6C42370C" w:rsidR="00C55141" w:rsidRDefault="00C55141" w:rsidP="00A804BB">
      <w:r>
        <w:t xml:space="preserve">The switching location cannot </w:t>
      </w:r>
      <w:r w:rsidR="00B53F0D">
        <w:t xml:space="preserve">be fixed at a slot boundary as the </w:t>
      </w:r>
      <w:r w:rsidR="00296AB7">
        <w:t>uplink transmission</w:t>
      </w:r>
      <w:r w:rsidR="00B53F0D">
        <w:t xml:space="preserve"> may start at any point in the slot. </w:t>
      </w:r>
      <w:r w:rsidR="00B53F0D">
        <w:fldChar w:fldCharType="begin"/>
      </w:r>
      <w:r w:rsidR="00B53F0D">
        <w:instrText xml:space="preserve"> REF _Ref127365626 \h </w:instrText>
      </w:r>
      <w:r w:rsidR="00B53F0D">
        <w:fldChar w:fldCharType="separate"/>
      </w:r>
      <w:r w:rsidR="00B53F0D">
        <w:t xml:space="preserve">Figure </w:t>
      </w:r>
      <w:r w:rsidR="00B53F0D">
        <w:rPr>
          <w:noProof/>
        </w:rPr>
        <w:t>1</w:t>
      </w:r>
      <w:r w:rsidR="00B53F0D">
        <w:fldChar w:fldCharType="end"/>
      </w:r>
      <w:r w:rsidR="00C4642C">
        <w:t xml:space="preserve"> shows a typical FDD 15kHz and TDD 30 kHz CA with TDD pattern of 10:2:2. </w:t>
      </w:r>
      <w:proofErr w:type="gramStart"/>
      <w:r w:rsidR="00C4642C">
        <w:t>E.g.</w:t>
      </w:r>
      <w:proofErr w:type="gramEnd"/>
      <w:r w:rsidR="00C4642C">
        <w:t xml:space="preserve"> with 140 us switching period, the TDD uplink starts at symbol#12, and every second time the FDD </w:t>
      </w:r>
      <w:r w:rsidR="00296AB7">
        <w:t>uplink</w:t>
      </w:r>
      <w:r w:rsidR="00C4642C">
        <w:t xml:space="preserve"> after the switch </w:t>
      </w:r>
      <w:r w:rsidR="00296AB7">
        <w:t>alternates between start symbol #2 and #9</w:t>
      </w:r>
      <w:r w:rsidR="00C4642C">
        <w:t xml:space="preserve">. </w:t>
      </w:r>
    </w:p>
    <w:p w14:paraId="33414408" w14:textId="77777777" w:rsidR="00B53F0D" w:rsidRDefault="00B53F0D" w:rsidP="00B53F0D">
      <w:pPr>
        <w:pStyle w:val="3GPPNormalText"/>
        <w:keepNext/>
      </w:pPr>
      <w:r w:rsidRPr="001A70A3">
        <w:rPr>
          <w:noProof/>
        </w:rPr>
        <w:drawing>
          <wp:inline distT="0" distB="0" distL="0" distR="0" wp14:anchorId="59B32CD2" wp14:editId="49CB6581">
            <wp:extent cx="6120765" cy="555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2E645239" w14:textId="4FCD6F1A" w:rsidR="00B53F0D" w:rsidRDefault="00B53F0D" w:rsidP="00B53F0D">
      <w:pPr>
        <w:pStyle w:val="Caption"/>
        <w:jc w:val="both"/>
      </w:pPr>
      <w:bookmarkStart w:id="2" w:name="_Ref127365626"/>
      <w:r>
        <w:t xml:space="preserve">Figure </w:t>
      </w:r>
      <w:r>
        <w:fldChar w:fldCharType="begin"/>
      </w:r>
      <w:r>
        <w:instrText xml:space="preserve"> SEQ Figure \* ARABIC </w:instrText>
      </w:r>
      <w:r>
        <w:fldChar w:fldCharType="separate"/>
      </w:r>
      <w:r>
        <w:rPr>
          <w:noProof/>
        </w:rPr>
        <w:t>1</w:t>
      </w:r>
      <w:r>
        <w:fldChar w:fldCharType="end"/>
      </w:r>
      <w:bookmarkEnd w:id="2"/>
      <w:r>
        <w:t>: FDD15-TDD30 with DDDSU (10:2:2), switch</w:t>
      </w:r>
      <w:r w:rsidR="00C4642C">
        <w:t xml:space="preserve">ing period on </w:t>
      </w:r>
      <w:r>
        <w:t>the FDD UL (140</w:t>
      </w:r>
      <w:r w:rsidR="00C4642C">
        <w:t xml:space="preserve"> </w:t>
      </w:r>
      <w:r>
        <w:t xml:space="preserve">us </w:t>
      </w:r>
      <w:r w:rsidR="00C4642C">
        <w:t>switching period</w:t>
      </w:r>
      <w:r>
        <w:t>)</w:t>
      </w:r>
    </w:p>
    <w:p w14:paraId="5E490B3E" w14:textId="5FA0CA1B" w:rsidR="00B53F0D" w:rsidRDefault="00B53F0D" w:rsidP="00A804BB"/>
    <w:p w14:paraId="367644F3" w14:textId="52329D2F" w:rsidR="00C31E16" w:rsidRDefault="00A610D5" w:rsidP="00A804BB">
      <w:r>
        <w:t>The key</w:t>
      </w:r>
      <w:r w:rsidR="00C31E16">
        <w:t xml:space="preserve"> question is that what is the role of the “</w:t>
      </w:r>
      <w:proofErr w:type="spellStart"/>
      <w:r w:rsidR="00C31E16" w:rsidRPr="008E3D6A">
        <w:rPr>
          <w:i/>
          <w:lang w:eastAsia="zh-CN"/>
        </w:rPr>
        <w:t>uplinkTxSwitchingPeriodLocation</w:t>
      </w:r>
      <w:proofErr w:type="spellEnd"/>
      <w:r w:rsidR="00C31E16">
        <w:t xml:space="preserve">” configuration when the scheduler creates a sufficient gap between the end of the transmission on the switch-from carrier and the start of the transmission </w:t>
      </w:r>
      <w:r w:rsidR="00C31E16">
        <w:lastRenderedPageBreak/>
        <w:t>on the switch-to carrier.</w:t>
      </w:r>
      <w:r>
        <w:t xml:space="preserve"> </w:t>
      </w:r>
      <w:proofErr w:type="gramStart"/>
      <w:r>
        <w:t>E.g.</w:t>
      </w:r>
      <w:proofErr w:type="gramEnd"/>
      <w:r>
        <w:t xml:space="preserve"> in the above setup, what does difference does the configuration have if the FDD slot is scheduled to stop transmission at symbol #10 at slot #1 and resume transmission on slot #9 in slot #2</w:t>
      </w:r>
      <w:r w:rsidR="00BE3828">
        <w:t xml:space="preserve"> etc</w:t>
      </w:r>
      <w:r>
        <w:t>.</w:t>
      </w:r>
      <w:r w:rsidR="00BE3828">
        <w:t xml:space="preserve"> i.e. the uplink allocations on the two uplink carriers are as in </w:t>
      </w:r>
      <w:r w:rsidR="00BE3828">
        <w:fldChar w:fldCharType="begin"/>
      </w:r>
      <w:r w:rsidR="00BE3828">
        <w:instrText xml:space="preserve"> REF _Ref127542876 \h </w:instrText>
      </w:r>
      <w:r w:rsidR="00BE3828">
        <w:fldChar w:fldCharType="separate"/>
      </w:r>
      <w:r w:rsidR="00BE3828">
        <w:t xml:space="preserve">Figure </w:t>
      </w:r>
      <w:r w:rsidR="00BE3828">
        <w:rPr>
          <w:noProof/>
        </w:rPr>
        <w:t>2</w:t>
      </w:r>
      <w:r w:rsidR="00BE3828">
        <w:fldChar w:fldCharType="end"/>
      </w:r>
      <w:r w:rsidR="00BE3828">
        <w:t xml:space="preserve">. </w:t>
      </w:r>
    </w:p>
    <w:p w14:paraId="4B46B740" w14:textId="1DD13EBA" w:rsidR="00BE3828" w:rsidRDefault="00BE3828" w:rsidP="00A804BB">
      <w:r w:rsidRPr="00BE3828">
        <w:rPr>
          <w:noProof/>
        </w:rPr>
        <w:drawing>
          <wp:inline distT="0" distB="0" distL="0" distR="0" wp14:anchorId="00948092" wp14:editId="1388C39C">
            <wp:extent cx="6120765" cy="555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01E05967" w14:textId="2B11F1E4" w:rsidR="00BE3828" w:rsidRDefault="00BE3828" w:rsidP="00BE3828">
      <w:pPr>
        <w:pStyle w:val="Caption"/>
        <w:jc w:val="both"/>
      </w:pPr>
      <w:bookmarkStart w:id="3" w:name="_Ref127542876"/>
      <w:r>
        <w:t xml:space="preserve">Figure </w:t>
      </w:r>
      <w:r>
        <w:fldChar w:fldCharType="begin"/>
      </w:r>
      <w:r>
        <w:instrText xml:space="preserve"> SEQ Figure \* ARABIC </w:instrText>
      </w:r>
      <w:r>
        <w:fldChar w:fldCharType="separate"/>
      </w:r>
      <w:r>
        <w:rPr>
          <w:noProof/>
        </w:rPr>
        <w:t>2</w:t>
      </w:r>
      <w:r>
        <w:fldChar w:fldCharType="end"/>
      </w:r>
      <w:bookmarkEnd w:id="3"/>
      <w:r>
        <w:t>: FDD15-TDD30 with DDDSU (10:2:2), switching period scheduled on the FDD carrier (140 us switching period)</w:t>
      </w:r>
    </w:p>
    <w:p w14:paraId="7F603A89" w14:textId="77777777" w:rsidR="00BE3828" w:rsidRDefault="00BE3828" w:rsidP="00A804BB"/>
    <w:p w14:paraId="72FD365C" w14:textId="61B1EF12" w:rsidR="00680A74" w:rsidRDefault="00680A74" w:rsidP="00D01846">
      <w:r>
        <w:t xml:space="preserve">As this ambiguity is related to Rel-16 specification, a corresponding CR is submitted to this meeting for agenda item 7.2 </w:t>
      </w:r>
      <w:r w:rsidRPr="00C31E16">
        <w:t>in [9]</w:t>
      </w:r>
      <w:r w:rsidR="00A804BB" w:rsidRPr="00C31E16">
        <w:t>, [10]</w:t>
      </w:r>
      <w:r w:rsidRPr="00C31E16">
        <w:t>.</w:t>
      </w:r>
    </w:p>
    <w:p w14:paraId="606CF519" w14:textId="67281E4B" w:rsidR="004E4FFC" w:rsidRPr="00C31E16" w:rsidRDefault="004E4FFC" w:rsidP="004E4FFC">
      <w:pPr>
        <w:pStyle w:val="Heading3"/>
        <w:ind w:left="709"/>
      </w:pPr>
      <w:r w:rsidRPr="00C31E16">
        <w:t>Extension of the current specification to support up to 4 bands</w:t>
      </w:r>
    </w:p>
    <w:p w14:paraId="526B8014" w14:textId="77777777" w:rsidR="00C31E16" w:rsidRDefault="00C31E16" w:rsidP="00C31E16">
      <w:r w:rsidRPr="00C31E16">
        <w:t>RAN1#111 discussed the location of the switching gap on a set of new switching cases introduced by the addition of more bands. RAN1#111 summary [7] identified</w:t>
      </w:r>
      <w:r>
        <w:t xml:space="preserve"> </w:t>
      </w:r>
      <w:proofErr w:type="gramStart"/>
      <w:r>
        <w:t>a number of</w:t>
      </w:r>
      <w:proofErr w:type="gramEnd"/>
      <w:r>
        <w:t xml:space="preserve"> alternatives, but there was not time to conclude on the discussion.</w:t>
      </w:r>
    </w:p>
    <w:tbl>
      <w:tblPr>
        <w:tblStyle w:val="TableGrid"/>
        <w:tblW w:w="0" w:type="auto"/>
        <w:tblLook w:val="04A0" w:firstRow="1" w:lastRow="0" w:firstColumn="1" w:lastColumn="0" w:noHBand="0" w:noVBand="1"/>
      </w:tblPr>
      <w:tblGrid>
        <w:gridCol w:w="9629"/>
      </w:tblGrid>
      <w:tr w:rsidR="00C31E16" w14:paraId="4DA6CA1E" w14:textId="77777777" w:rsidTr="00320B83">
        <w:tc>
          <w:tcPr>
            <w:tcW w:w="9629" w:type="dxa"/>
          </w:tcPr>
          <w:p w14:paraId="011D68C5" w14:textId="77777777" w:rsidR="00C31E16" w:rsidRPr="00D01846" w:rsidRDefault="00C31E16" w:rsidP="00320B83">
            <w:pPr>
              <w:spacing w:afterLines="50" w:after="120"/>
              <w:jc w:val="both"/>
              <w:rPr>
                <w:rFonts w:eastAsia="MS Mincho"/>
                <w:b/>
                <w:bCs/>
                <w:u w:val="single"/>
              </w:rPr>
            </w:pPr>
            <w:r w:rsidRPr="00D01846">
              <w:rPr>
                <w:rFonts w:eastAsia="MS Mincho"/>
                <w:b/>
                <w:bCs/>
                <w:u w:val="single"/>
              </w:rPr>
              <w:t>Updated proposed agreement 6</w:t>
            </w:r>
          </w:p>
          <w:p w14:paraId="6048F773" w14:textId="77777777" w:rsidR="00C31E16" w:rsidRPr="00D01846" w:rsidRDefault="00C31E16" w:rsidP="00320B83">
            <w:pPr>
              <w:spacing w:afterLines="50" w:after="120"/>
              <w:jc w:val="both"/>
              <w:rPr>
                <w:rFonts w:eastAsia="MS Mincho"/>
              </w:rPr>
            </w:pPr>
            <w:proofErr w:type="gramStart"/>
            <w:r w:rsidRPr="00D01846">
              <w:rPr>
                <w:rFonts w:eastAsia="MS Mincho"/>
              </w:rPr>
              <w:t>Down-select</w:t>
            </w:r>
            <w:proofErr w:type="gramEnd"/>
            <w:r w:rsidRPr="00D01846">
              <w:rPr>
                <w:rFonts w:eastAsia="MS Mincho"/>
              </w:rPr>
              <w:t xml:space="preserve"> a solution for the ambiguity issue on switching period location from following alternatives.</w:t>
            </w:r>
          </w:p>
          <w:p w14:paraId="6A49E538" w14:textId="77777777" w:rsidR="00C31E16" w:rsidRPr="00D01846" w:rsidRDefault="00C31E16" w:rsidP="00320B83">
            <w:pPr>
              <w:pStyle w:val="ListParagraph"/>
              <w:numPr>
                <w:ilvl w:val="0"/>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rPr>
              <w:t>Alt.1: switching period location is configured per band pair</w:t>
            </w:r>
          </w:p>
          <w:p w14:paraId="2FEB96F9" w14:textId="77777777" w:rsidR="00C31E16" w:rsidRPr="00D01846" w:rsidRDefault="00C31E16" w:rsidP="00320B83">
            <w:pPr>
              <w:pStyle w:val="ListParagraph"/>
              <w:numPr>
                <w:ilvl w:val="1"/>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rPr>
              <w:t>If there are multiple bands configured with switching period location as TRUE in the bands involved in a switching, the switching period location is determined to highest carrier frequency among the bands configured with switching period location as TRUE</w:t>
            </w:r>
          </w:p>
          <w:p w14:paraId="7C0B8B12" w14:textId="77777777" w:rsidR="00C31E16" w:rsidRPr="00D01846" w:rsidRDefault="00C31E16" w:rsidP="00320B83">
            <w:pPr>
              <w:pStyle w:val="ListParagraph"/>
              <w:numPr>
                <w:ilvl w:val="0"/>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rPr>
              <w:t>Alt.2: switching period location is configured per band pair, and the priority list of bands is also configured</w:t>
            </w:r>
          </w:p>
          <w:p w14:paraId="61E32FB7" w14:textId="77777777" w:rsidR="00C31E16" w:rsidRPr="00D01846" w:rsidRDefault="00C31E16" w:rsidP="00320B83">
            <w:pPr>
              <w:pStyle w:val="ListParagraph"/>
              <w:numPr>
                <w:ilvl w:val="1"/>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63AA7B2F" w14:textId="77777777" w:rsidR="00C31E16" w:rsidRPr="00D01846" w:rsidRDefault="00C31E16" w:rsidP="00320B83">
            <w:pPr>
              <w:pStyle w:val="ListParagraph"/>
              <w:numPr>
                <w:ilvl w:val="0"/>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hint="eastAsia"/>
              </w:rPr>
              <w:t>A</w:t>
            </w:r>
            <w:r w:rsidRPr="00D01846">
              <w:rPr>
                <w:rFonts w:eastAsia="MS Mincho"/>
              </w:rPr>
              <w:t xml:space="preserve">lt.3: </w:t>
            </w:r>
            <w:proofErr w:type="spellStart"/>
            <w:r w:rsidRPr="00D01846">
              <w:rPr>
                <w:rFonts w:eastAsia="MS Mincho"/>
              </w:rPr>
              <w:t>gNB</w:t>
            </w:r>
            <w:proofErr w:type="spellEnd"/>
            <w:r w:rsidRPr="00D01846">
              <w:rPr>
                <w:rFonts w:eastAsia="MS Mincho"/>
              </w:rPr>
              <w:t xml:space="preserve"> configures “switching-from band” or “switching-to band”</w:t>
            </w:r>
          </w:p>
          <w:p w14:paraId="1E44B602" w14:textId="77777777" w:rsidR="00C31E16" w:rsidRPr="00D01846" w:rsidRDefault="00C31E16" w:rsidP="00320B83">
            <w:pPr>
              <w:pStyle w:val="ListParagraph"/>
              <w:numPr>
                <w:ilvl w:val="1"/>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rPr>
              <w:t xml:space="preserve">If </w:t>
            </w:r>
            <w:proofErr w:type="spellStart"/>
            <w:r w:rsidRPr="00D01846">
              <w:rPr>
                <w:rFonts w:eastAsia="MS Mincho"/>
              </w:rPr>
              <w:t>gNB</w:t>
            </w:r>
            <w:proofErr w:type="spellEnd"/>
            <w:r w:rsidRPr="00D01846">
              <w:rPr>
                <w:rFonts w:eastAsia="MS Mincho"/>
              </w:rPr>
              <w:t xml:space="preserve"> configures “switching-from band” as switching period location, switching period is located on band(s) where preceding transmission is performed</w:t>
            </w:r>
          </w:p>
          <w:p w14:paraId="4D072ED6" w14:textId="77777777" w:rsidR="00C31E16" w:rsidRPr="00D01846" w:rsidRDefault="00C31E16" w:rsidP="00320B83">
            <w:pPr>
              <w:pStyle w:val="ListParagraph"/>
              <w:numPr>
                <w:ilvl w:val="0"/>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hint="eastAsia"/>
              </w:rPr>
              <w:t>A</w:t>
            </w:r>
            <w:r w:rsidRPr="00D01846">
              <w:rPr>
                <w:rFonts w:eastAsia="MS Mincho"/>
              </w:rPr>
              <w:t xml:space="preserve">lt.4: </w:t>
            </w:r>
            <w:proofErr w:type="spellStart"/>
            <w:r w:rsidRPr="00D01846">
              <w:rPr>
                <w:rFonts w:eastAsia="MS Mincho"/>
              </w:rPr>
              <w:t>gNB</w:t>
            </w:r>
            <w:proofErr w:type="spellEnd"/>
            <w:r w:rsidRPr="00D01846">
              <w:rPr>
                <w:rFonts w:eastAsia="MS Mincho"/>
              </w:rPr>
              <w:t xml:space="preserve"> configures switching period location per switching case</w:t>
            </w:r>
          </w:p>
          <w:p w14:paraId="279CA5DB" w14:textId="77777777" w:rsidR="00C31E16" w:rsidRPr="00D01846" w:rsidRDefault="00C31E16" w:rsidP="00320B83">
            <w:pPr>
              <w:pStyle w:val="ListParagraph"/>
              <w:numPr>
                <w:ilvl w:val="1"/>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rPr>
              <w:t xml:space="preserve">In 3 bands case, </w:t>
            </w:r>
            <w:proofErr w:type="spellStart"/>
            <w:r w:rsidRPr="00D01846">
              <w:rPr>
                <w:rFonts w:eastAsia="MS Mincho"/>
              </w:rPr>
              <w:t>gNB</w:t>
            </w:r>
            <w:proofErr w:type="spellEnd"/>
            <w:r w:rsidRPr="00D01846">
              <w:rPr>
                <w:rFonts w:eastAsia="MS Mincho"/>
              </w:rPr>
              <w:t xml:space="preserve"> configures switching period location for each of switching case pair such as {A - B}, {A - C}, {B - C}, {A+B - C}, {A+C - B}, {B+C - A}</w:t>
            </w:r>
          </w:p>
          <w:p w14:paraId="3F937B6E" w14:textId="77777777" w:rsidR="00C31E16" w:rsidRPr="00D01846" w:rsidRDefault="00C31E16" w:rsidP="00320B83">
            <w:pPr>
              <w:pStyle w:val="ListParagraph"/>
              <w:numPr>
                <w:ilvl w:val="1"/>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rPr>
              <w:t xml:space="preserve">In 4 bands case, </w:t>
            </w:r>
            <w:proofErr w:type="spellStart"/>
            <w:r w:rsidRPr="00D01846">
              <w:rPr>
                <w:rFonts w:eastAsia="MS Mincho"/>
              </w:rPr>
              <w:t>gNB</w:t>
            </w:r>
            <w:proofErr w:type="spellEnd"/>
            <w:r w:rsidRPr="00D01846">
              <w:rPr>
                <w:rFonts w:eastAsia="MS Mincho"/>
              </w:rPr>
              <w:t xml:space="preserve"> configures switching period location for each of switching case pair such as {A - B}, {A - C}, {A - D}, {B - C}, {B - D}, {C - D}, {A+B - C}, {A+B - D}, {A+C - B}, {A+C - D}, {A+D - B}, {A+D - C}, {B+C - A}, {B+C - D}, {B+D - A}, {B+D - C}, {C+D - A}, {C+D - B}, {A+B – C+D}, {A+C – B+D}, {A+D – B+C}</w:t>
            </w:r>
          </w:p>
          <w:p w14:paraId="17F2FFA2" w14:textId="77777777" w:rsidR="00C31E16" w:rsidRPr="00D01846" w:rsidRDefault="00C31E16" w:rsidP="00320B83">
            <w:pPr>
              <w:pStyle w:val="ListParagraph"/>
              <w:numPr>
                <w:ilvl w:val="0"/>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hint="eastAsia"/>
              </w:rPr>
              <w:t>A</w:t>
            </w:r>
            <w:r w:rsidRPr="00D01846">
              <w:rPr>
                <w:rFonts w:eastAsia="MS Mincho"/>
              </w:rPr>
              <w:t>lt.4</w:t>
            </w:r>
            <w:r w:rsidRPr="00D01846">
              <w:rPr>
                <w:rFonts w:eastAsia="MS Mincho" w:hint="eastAsia"/>
              </w:rPr>
              <w:t>-rev</w:t>
            </w:r>
            <w:r w:rsidRPr="00D01846">
              <w:rPr>
                <w:rFonts w:eastAsia="MS Mincho"/>
              </w:rPr>
              <w:t xml:space="preserve">: </w:t>
            </w:r>
            <w:proofErr w:type="spellStart"/>
            <w:r w:rsidRPr="00D01846">
              <w:rPr>
                <w:rFonts w:eastAsia="MS Mincho"/>
              </w:rPr>
              <w:t>gNB</w:t>
            </w:r>
            <w:proofErr w:type="spellEnd"/>
            <w:r w:rsidRPr="00D01846">
              <w:rPr>
                <w:rFonts w:eastAsia="MS Mincho"/>
              </w:rPr>
              <w:t xml:space="preserve"> configures switching period location per configured 3 or 4 bands</w:t>
            </w:r>
          </w:p>
          <w:p w14:paraId="6045A711" w14:textId="77777777" w:rsidR="00C31E16" w:rsidRPr="00D01846" w:rsidRDefault="00C31E16" w:rsidP="00320B83">
            <w:pPr>
              <w:pStyle w:val="ListParagraph"/>
              <w:numPr>
                <w:ilvl w:val="1"/>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rPr>
              <w:t xml:space="preserve">In 3 bands case, </w:t>
            </w:r>
            <w:proofErr w:type="spellStart"/>
            <w:r w:rsidRPr="00D01846">
              <w:rPr>
                <w:rFonts w:eastAsia="MS Mincho"/>
              </w:rPr>
              <w:t>gNB</w:t>
            </w:r>
            <w:proofErr w:type="spellEnd"/>
            <w:r w:rsidRPr="00D01846">
              <w:rPr>
                <w:rFonts w:eastAsia="MS Mincho"/>
              </w:rPr>
              <w:t xml:space="preserve"> configures switching period location for each of switching case pair such as {A, B}, {A, C}, {B, C}, {A, B, C}</w:t>
            </w:r>
          </w:p>
          <w:p w14:paraId="6B27205F" w14:textId="77777777" w:rsidR="00C31E16" w:rsidRPr="00D01846" w:rsidRDefault="00C31E16" w:rsidP="00320B83">
            <w:pPr>
              <w:pStyle w:val="ListParagraph"/>
              <w:numPr>
                <w:ilvl w:val="1"/>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rPr>
              <w:t xml:space="preserve">In 4 bands case, </w:t>
            </w:r>
            <w:proofErr w:type="spellStart"/>
            <w:r w:rsidRPr="00D01846">
              <w:rPr>
                <w:rFonts w:eastAsia="MS Mincho"/>
              </w:rPr>
              <w:t>gNB</w:t>
            </w:r>
            <w:proofErr w:type="spellEnd"/>
            <w:r w:rsidRPr="00D01846">
              <w:rPr>
                <w:rFonts w:eastAsia="MS Mincho"/>
              </w:rPr>
              <w:t xml:space="preserve"> configures switching period location for each of switching case pair such as {A, B}, {A, C}, {A, D}, {B, C}, {B, D}, {C, D}, {A, B, C}, {A, B, D}, {B, C, D}, {A, B, C, D}</w:t>
            </w:r>
          </w:p>
          <w:p w14:paraId="5711DD9D" w14:textId="77777777" w:rsidR="00C31E16" w:rsidRPr="00D01846" w:rsidRDefault="00C31E16" w:rsidP="00320B83">
            <w:pPr>
              <w:pStyle w:val="ListParagraph"/>
              <w:numPr>
                <w:ilvl w:val="0"/>
                <w:numId w:val="38"/>
              </w:numPr>
              <w:overflowPunct w:val="0"/>
              <w:autoSpaceDE w:val="0"/>
              <w:autoSpaceDN w:val="0"/>
              <w:adjustRightInd w:val="0"/>
              <w:spacing w:afterLines="50" w:after="120"/>
              <w:contextualSpacing w:val="0"/>
              <w:textAlignment w:val="baseline"/>
              <w:rPr>
                <w:rFonts w:eastAsia="MS Mincho"/>
              </w:rPr>
            </w:pPr>
            <w:r w:rsidRPr="00D01846">
              <w:rPr>
                <w:rFonts w:eastAsia="MS Mincho"/>
                <w:szCs w:val="18"/>
              </w:rPr>
              <w:t xml:space="preserve">Alt.5: </w:t>
            </w:r>
            <w:proofErr w:type="spellStart"/>
            <w:r w:rsidRPr="00D01846">
              <w:rPr>
                <w:rFonts w:eastAsia="MS Mincho"/>
              </w:rPr>
              <w:t>gNB</w:t>
            </w:r>
            <w:proofErr w:type="spellEnd"/>
            <w:r w:rsidRPr="00D01846">
              <w:rPr>
                <w:rFonts w:eastAsia="MS Mincho"/>
              </w:rPr>
              <w:t xml:space="preserve"> configures priorities to each carrier/band.</w:t>
            </w:r>
          </w:p>
          <w:p w14:paraId="636FA8AC" w14:textId="77777777" w:rsidR="00C31E16" w:rsidRPr="00D01846" w:rsidRDefault="00C31E16" w:rsidP="00320B83">
            <w:pPr>
              <w:pStyle w:val="ListParagraph"/>
              <w:numPr>
                <w:ilvl w:val="1"/>
                <w:numId w:val="38"/>
              </w:numPr>
              <w:overflowPunct w:val="0"/>
              <w:autoSpaceDE w:val="0"/>
              <w:autoSpaceDN w:val="0"/>
              <w:adjustRightInd w:val="0"/>
              <w:spacing w:afterLines="50" w:after="120"/>
              <w:contextualSpacing w:val="0"/>
              <w:textAlignment w:val="baseline"/>
              <w:rPr>
                <w:rFonts w:eastAsia="MS Mincho"/>
                <w:sz w:val="22"/>
                <w:szCs w:val="22"/>
              </w:rPr>
            </w:pPr>
            <w:r w:rsidRPr="00D01846">
              <w:rPr>
                <w:rFonts w:eastAsia="MS Mincho"/>
              </w:rPr>
              <w:t>The UE determines the switching period location on the band that is not with the highest priority.</w:t>
            </w:r>
          </w:p>
        </w:tc>
      </w:tr>
    </w:tbl>
    <w:p w14:paraId="12A4AF80" w14:textId="3381A36C" w:rsidR="00C31E16" w:rsidRDefault="00C31E16" w:rsidP="00C31E16"/>
    <w:p w14:paraId="0F6731D7" w14:textId="2AB9F173" w:rsidR="00C31E16" w:rsidRDefault="00C31E16" w:rsidP="00C31E16">
      <w:pPr>
        <w:rPr>
          <w:iCs/>
          <w:lang w:eastAsia="zh-CN"/>
        </w:rPr>
      </w:pPr>
      <w:r>
        <w:t>The impact of each of the abovementioned alternatives depends on how the Rel-16/17 specification is understood</w:t>
      </w:r>
      <w:r w:rsidR="00BE3828">
        <w:t xml:space="preserve"> </w:t>
      </w:r>
      <w:proofErr w:type="spellStart"/>
      <w:r w:rsidR="00BE3828">
        <w:t>wrt</w:t>
      </w:r>
      <w:proofErr w:type="spellEnd"/>
      <w:r w:rsidR="00BE3828">
        <w:t xml:space="preserve">. The </w:t>
      </w:r>
      <w:proofErr w:type="spellStart"/>
      <w:r w:rsidR="00BE3828" w:rsidRPr="008E3D6A">
        <w:rPr>
          <w:i/>
          <w:lang w:eastAsia="zh-CN"/>
        </w:rPr>
        <w:t>uplinkTxSwitchingPeriodLocatio</w:t>
      </w:r>
      <w:r w:rsidR="00BE3828">
        <w:rPr>
          <w:i/>
          <w:lang w:eastAsia="zh-CN"/>
        </w:rPr>
        <w:t>n</w:t>
      </w:r>
      <w:proofErr w:type="spellEnd"/>
      <w:r w:rsidR="00BE3828">
        <w:rPr>
          <w:iCs/>
          <w:lang w:eastAsia="zh-CN"/>
        </w:rPr>
        <w:t xml:space="preserve"> configuration. The most straight forward extension of Rel-16/17 would be to configure the location per band pair, but in the end of the day what is needed is that for each band pair the location is </w:t>
      </w:r>
      <w:proofErr w:type="gramStart"/>
      <w:r w:rsidR="00BE3828">
        <w:rPr>
          <w:iCs/>
          <w:lang w:eastAsia="zh-CN"/>
        </w:rPr>
        <w:lastRenderedPageBreak/>
        <w:t>determined</w:t>
      </w:r>
      <w:proofErr w:type="gramEnd"/>
      <w:r w:rsidR="00BE3828">
        <w:rPr>
          <w:iCs/>
          <w:lang w:eastAsia="zh-CN"/>
        </w:rPr>
        <w:t xml:space="preserve"> and the configuration is sufficiently flexible in the system. If the Rel-16/17 interpretation is such that the switching period never cuts the beginning of the starting transmission (</w:t>
      </w:r>
      <w:proofErr w:type="gramStart"/>
      <w:r w:rsidR="00BE3828">
        <w:rPr>
          <w:iCs/>
          <w:lang w:eastAsia="zh-CN"/>
        </w:rPr>
        <w:t>i.e.</w:t>
      </w:r>
      <w:proofErr w:type="gramEnd"/>
      <w:r w:rsidR="00BE3828">
        <w:rPr>
          <w:iCs/>
          <w:lang w:eastAsia="zh-CN"/>
        </w:rPr>
        <w:t xml:space="preserve"> it is always possible to schedule around the switching period), then placing the period always on the switch-from band would seem logical.</w:t>
      </w:r>
    </w:p>
    <w:p w14:paraId="43CE0A3C" w14:textId="04E2E405" w:rsidR="00C31E16" w:rsidRPr="00BE3828" w:rsidRDefault="00BE3828" w:rsidP="004E4FFC">
      <w:pPr>
        <w:rPr>
          <w:b/>
          <w:bCs/>
          <w:iCs/>
        </w:rPr>
      </w:pPr>
      <w:r>
        <w:rPr>
          <w:b/>
          <w:bCs/>
          <w:iCs/>
          <w:lang w:eastAsia="zh-CN"/>
        </w:rPr>
        <w:t xml:space="preserve">Proposal 1: </w:t>
      </w:r>
      <w:r w:rsidRPr="00BE3828">
        <w:rPr>
          <w:iCs/>
          <w:lang w:eastAsia="zh-CN"/>
        </w:rPr>
        <w:t xml:space="preserve">Determine under AI 7.2 what is the correct interpretation of the </w:t>
      </w:r>
      <w:proofErr w:type="spellStart"/>
      <w:r w:rsidRPr="00BE3828">
        <w:rPr>
          <w:i/>
          <w:lang w:eastAsia="zh-CN"/>
        </w:rPr>
        <w:t>uplinkTxSwitchingPeriodLocation</w:t>
      </w:r>
      <w:proofErr w:type="spellEnd"/>
      <w:r w:rsidRPr="00BE3828">
        <w:rPr>
          <w:iCs/>
          <w:lang w:eastAsia="zh-CN"/>
        </w:rPr>
        <w:t xml:space="preserve"> before concluding on how the switching period location is extended to 3 or 4 bands.</w:t>
      </w:r>
    </w:p>
    <w:p w14:paraId="2CAAB19F" w14:textId="3B71745E" w:rsidR="00B94601" w:rsidRDefault="00B94601" w:rsidP="00B94601">
      <w:pPr>
        <w:pStyle w:val="Heading2"/>
      </w:pPr>
      <w:r>
        <w:t>Minimum distance between two switches</w:t>
      </w:r>
    </w:p>
    <w:p w14:paraId="08DB0257" w14:textId="079087CE" w:rsidR="00B94601" w:rsidRDefault="00B94601" w:rsidP="00B94601">
      <w:r>
        <w:t>RAN1#111 made the following agreement and working assumption:</w:t>
      </w:r>
    </w:p>
    <w:tbl>
      <w:tblPr>
        <w:tblStyle w:val="TableGrid"/>
        <w:tblW w:w="0" w:type="auto"/>
        <w:tblLook w:val="04A0" w:firstRow="1" w:lastRow="0" w:firstColumn="1" w:lastColumn="0" w:noHBand="0" w:noVBand="1"/>
      </w:tblPr>
      <w:tblGrid>
        <w:gridCol w:w="9629"/>
      </w:tblGrid>
      <w:tr w:rsidR="00B94601" w14:paraId="045C5059" w14:textId="77777777" w:rsidTr="00B94601">
        <w:tc>
          <w:tcPr>
            <w:tcW w:w="9629" w:type="dxa"/>
          </w:tcPr>
          <w:p w14:paraId="3F1C14C2" w14:textId="77777777" w:rsidR="00B94601" w:rsidRPr="00217A93" w:rsidRDefault="00B94601" w:rsidP="00B94601">
            <w:pPr>
              <w:rPr>
                <w:rFonts w:cs="Times"/>
                <w:b/>
                <w:bCs/>
                <w:highlight w:val="green"/>
                <w:lang w:eastAsia="x-none"/>
              </w:rPr>
            </w:pPr>
            <w:r w:rsidRPr="00217A93">
              <w:rPr>
                <w:rFonts w:cs="Times"/>
                <w:b/>
                <w:bCs/>
                <w:highlight w:val="green"/>
                <w:lang w:eastAsia="x-none"/>
              </w:rPr>
              <w:t>Agreement</w:t>
            </w:r>
          </w:p>
          <w:p w14:paraId="335535F0" w14:textId="77777777" w:rsidR="00B94601" w:rsidRPr="00C61DD6" w:rsidRDefault="00B94601" w:rsidP="00B94601">
            <w:pPr>
              <w:jc w:val="both"/>
              <w:rPr>
                <w:rFonts w:ascii="Calibri" w:hAnsi="Calibri" w:cs="Calibri"/>
                <w:sz w:val="22"/>
                <w:szCs w:val="22"/>
                <w:lang w:eastAsia="zh-CN"/>
              </w:rPr>
            </w:pPr>
            <w:r w:rsidRPr="00C61DD6">
              <w:rPr>
                <w:sz w:val="22"/>
                <w:szCs w:val="22"/>
                <w:lang w:val="en-US" w:eastAsia="zh-CN"/>
              </w:rPr>
              <w:t>Following restrictions are applied for Rel-18 UL Tx switching across 3 or 4 bands.</w:t>
            </w:r>
          </w:p>
          <w:p w14:paraId="6702FB65" w14:textId="77777777" w:rsidR="00B94601" w:rsidRDefault="00B94601" w:rsidP="0032747F">
            <w:pPr>
              <w:pStyle w:val="ListParagraph"/>
              <w:numPr>
                <w:ilvl w:val="0"/>
                <w:numId w:val="35"/>
              </w:numPr>
              <w:contextualSpacing w:val="0"/>
              <w:rPr>
                <w:rFonts w:eastAsia="MS Mincho"/>
                <w:sz w:val="22"/>
                <w:szCs w:val="22"/>
                <w:lang w:val="en-AU"/>
              </w:rPr>
            </w:pPr>
            <w:r w:rsidRPr="00C61DD6">
              <w:rPr>
                <w:rFonts w:eastAsia="MS Mincho"/>
                <w:sz w:val="22"/>
                <w:szCs w:val="22"/>
                <w:lang w:val="en-AU"/>
              </w:rPr>
              <w:t>The UE does not expect to perform more than one uplink switching within a reference slot based on µ</w:t>
            </w:r>
            <w:r w:rsidRPr="00C61DD6">
              <w:rPr>
                <w:rFonts w:eastAsia="MS Mincho"/>
                <w:sz w:val="22"/>
                <w:szCs w:val="22"/>
                <w:vertAlign w:val="subscript"/>
                <w:lang w:val="en-AU"/>
              </w:rPr>
              <w:t>UL</w:t>
            </w:r>
            <w:r w:rsidRPr="00C61DD6">
              <w:rPr>
                <w:rFonts w:eastAsia="MS Mincho"/>
                <w:sz w:val="22"/>
                <w:szCs w:val="22"/>
                <w:lang w:val="en-AU"/>
              </w:rPr>
              <w:t> = max(µ</w:t>
            </w:r>
            <w:r w:rsidRPr="00C61DD6">
              <w:rPr>
                <w:rFonts w:eastAsia="MS Mincho"/>
                <w:sz w:val="22"/>
                <w:szCs w:val="22"/>
                <w:vertAlign w:val="subscript"/>
                <w:lang w:val="en-AU"/>
              </w:rPr>
              <w:t>UL, 1</w:t>
            </w:r>
            <w:r w:rsidRPr="00C61DD6">
              <w:rPr>
                <w:rFonts w:eastAsia="MS Mincho"/>
                <w:sz w:val="22"/>
                <w:szCs w:val="22"/>
                <w:lang w:val="en-AU"/>
              </w:rPr>
              <w:t>, µ</w:t>
            </w:r>
            <w:r w:rsidRPr="00C61DD6">
              <w:rPr>
                <w:rFonts w:eastAsia="MS Mincho"/>
                <w:sz w:val="22"/>
                <w:szCs w:val="22"/>
                <w:vertAlign w:val="subscript"/>
                <w:lang w:val="en-AU"/>
              </w:rPr>
              <w:t>UL, 2</w:t>
            </w:r>
            <w:r w:rsidRPr="00C61DD6">
              <w:rPr>
                <w:rFonts w:eastAsia="MS Mincho"/>
                <w:sz w:val="22"/>
                <w:szCs w:val="22"/>
                <w:lang w:val="en-AU"/>
              </w:rPr>
              <w:t>, µ</w:t>
            </w:r>
            <w:r w:rsidRPr="00C61DD6">
              <w:rPr>
                <w:rFonts w:eastAsia="MS Mincho"/>
                <w:sz w:val="22"/>
                <w:szCs w:val="22"/>
                <w:vertAlign w:val="subscript"/>
                <w:lang w:val="en-AU"/>
              </w:rPr>
              <w:t>UL, 3</w:t>
            </w:r>
            <w:r w:rsidRPr="00C61DD6">
              <w:rPr>
                <w:rFonts w:eastAsia="MS Mincho"/>
                <w:sz w:val="22"/>
                <w:szCs w:val="22"/>
                <w:lang w:val="en-AU"/>
              </w:rPr>
              <w:t>) in case of 3 bands, µ</w:t>
            </w:r>
            <w:r w:rsidRPr="00C61DD6">
              <w:rPr>
                <w:rFonts w:eastAsia="MS Mincho"/>
                <w:sz w:val="22"/>
                <w:szCs w:val="22"/>
                <w:vertAlign w:val="subscript"/>
                <w:lang w:val="en-AU"/>
              </w:rPr>
              <w:t>UL</w:t>
            </w:r>
            <w:r w:rsidRPr="00C61DD6">
              <w:rPr>
                <w:rFonts w:eastAsia="MS Mincho"/>
                <w:sz w:val="22"/>
                <w:szCs w:val="22"/>
                <w:lang w:val="en-AU"/>
              </w:rPr>
              <w:t> = max(µ</w:t>
            </w:r>
            <w:r w:rsidRPr="00C61DD6">
              <w:rPr>
                <w:rFonts w:eastAsia="MS Mincho"/>
                <w:sz w:val="22"/>
                <w:szCs w:val="22"/>
                <w:vertAlign w:val="subscript"/>
                <w:lang w:val="en-AU"/>
              </w:rPr>
              <w:t>UL, 1</w:t>
            </w:r>
            <w:r w:rsidRPr="00C61DD6">
              <w:rPr>
                <w:rFonts w:eastAsia="MS Mincho"/>
                <w:sz w:val="22"/>
                <w:szCs w:val="22"/>
                <w:lang w:val="en-AU"/>
              </w:rPr>
              <w:t>, µ</w:t>
            </w:r>
            <w:r w:rsidRPr="00C61DD6">
              <w:rPr>
                <w:rFonts w:eastAsia="MS Mincho"/>
                <w:sz w:val="22"/>
                <w:szCs w:val="22"/>
                <w:vertAlign w:val="subscript"/>
                <w:lang w:val="en-AU"/>
              </w:rPr>
              <w:t>UL, 2</w:t>
            </w:r>
            <w:r w:rsidRPr="00C61DD6">
              <w:rPr>
                <w:rFonts w:eastAsia="MS Mincho"/>
                <w:sz w:val="22"/>
                <w:szCs w:val="22"/>
                <w:lang w:val="en-AU"/>
              </w:rPr>
              <w:t>, µ</w:t>
            </w:r>
            <w:r w:rsidRPr="00C61DD6">
              <w:rPr>
                <w:rFonts w:eastAsia="MS Mincho"/>
                <w:sz w:val="22"/>
                <w:szCs w:val="22"/>
                <w:vertAlign w:val="subscript"/>
                <w:lang w:val="en-AU"/>
              </w:rPr>
              <w:t>UL, 3</w:t>
            </w:r>
            <w:r w:rsidRPr="00C61DD6">
              <w:rPr>
                <w:rFonts w:eastAsia="MS Mincho"/>
                <w:sz w:val="22"/>
                <w:szCs w:val="22"/>
                <w:lang w:val="en-AU"/>
              </w:rPr>
              <w:t>, µ</w:t>
            </w:r>
            <w:r w:rsidRPr="00C61DD6">
              <w:rPr>
                <w:rFonts w:eastAsia="MS Mincho"/>
                <w:sz w:val="22"/>
                <w:szCs w:val="22"/>
                <w:vertAlign w:val="subscript"/>
                <w:lang w:val="en-AU"/>
              </w:rPr>
              <w:t>UL, 4</w:t>
            </w:r>
            <w:r w:rsidRPr="00C61DD6">
              <w:rPr>
                <w:rFonts w:eastAsia="MS Mincho"/>
                <w:sz w:val="22"/>
                <w:szCs w:val="22"/>
                <w:lang w:val="en-AU"/>
              </w:rPr>
              <w:t>) in case of 4 bands, where µ</w:t>
            </w:r>
            <w:r w:rsidRPr="00C61DD6">
              <w:rPr>
                <w:rFonts w:eastAsia="MS Mincho"/>
                <w:sz w:val="22"/>
                <w:szCs w:val="22"/>
                <w:vertAlign w:val="subscript"/>
                <w:lang w:val="en-AU"/>
              </w:rPr>
              <w:t>UL, 1</w:t>
            </w:r>
            <w:r w:rsidRPr="00C61DD6">
              <w:rPr>
                <w:rFonts w:eastAsia="MS Mincho"/>
                <w:sz w:val="22"/>
                <w:szCs w:val="22"/>
                <w:lang w:val="en-AU"/>
              </w:rPr>
              <w:t>, µ</w:t>
            </w:r>
            <w:r w:rsidRPr="00C61DD6">
              <w:rPr>
                <w:rFonts w:eastAsia="MS Mincho"/>
                <w:sz w:val="22"/>
                <w:szCs w:val="22"/>
                <w:vertAlign w:val="subscript"/>
                <w:lang w:val="en-AU"/>
              </w:rPr>
              <w:t>UL, 2</w:t>
            </w:r>
            <w:r w:rsidRPr="00C61DD6">
              <w:rPr>
                <w:rFonts w:eastAsia="MS Mincho"/>
                <w:sz w:val="22"/>
                <w:szCs w:val="22"/>
                <w:lang w:val="en-AU"/>
              </w:rPr>
              <w:t>, µ</w:t>
            </w:r>
            <w:r w:rsidRPr="00C61DD6">
              <w:rPr>
                <w:rFonts w:eastAsia="MS Mincho"/>
                <w:sz w:val="22"/>
                <w:szCs w:val="22"/>
                <w:vertAlign w:val="subscript"/>
                <w:lang w:val="en-AU"/>
              </w:rPr>
              <w:t>UL, 3</w:t>
            </w:r>
            <w:r w:rsidRPr="00C61DD6">
              <w:rPr>
                <w:rFonts w:eastAsia="MS Mincho"/>
                <w:sz w:val="22"/>
                <w:szCs w:val="22"/>
                <w:lang w:val="en-AU"/>
              </w:rPr>
              <w:t>, µ</w:t>
            </w:r>
            <w:r w:rsidRPr="00C61DD6">
              <w:rPr>
                <w:rFonts w:eastAsia="MS Mincho"/>
                <w:sz w:val="22"/>
                <w:szCs w:val="22"/>
                <w:vertAlign w:val="subscript"/>
                <w:lang w:val="en-AU"/>
              </w:rPr>
              <w:t>UL, 4</w:t>
            </w:r>
            <w:r w:rsidRPr="00C61DD6">
              <w:rPr>
                <w:rFonts w:eastAsia="MS Mincho"/>
                <w:sz w:val="22"/>
                <w:szCs w:val="22"/>
                <w:lang w:val="en-AU"/>
              </w:rPr>
              <w:t> are SCSs of active UL bandwidth parts of the bands in the band combination</w:t>
            </w:r>
          </w:p>
          <w:p w14:paraId="78734F45" w14:textId="77777777" w:rsidR="00B94601" w:rsidRDefault="00B94601" w:rsidP="0032747F">
            <w:pPr>
              <w:pStyle w:val="ListParagraph"/>
              <w:numPr>
                <w:ilvl w:val="1"/>
                <w:numId w:val="35"/>
              </w:numPr>
              <w:contextualSpacing w:val="0"/>
              <w:rPr>
                <w:rFonts w:eastAsia="MS Mincho"/>
                <w:sz w:val="22"/>
                <w:szCs w:val="22"/>
                <w:lang w:val="en-AU"/>
              </w:rPr>
            </w:pPr>
            <w:r w:rsidRPr="00E61F00">
              <w:rPr>
                <w:rFonts w:eastAsia="MS Mincho"/>
                <w:sz w:val="22"/>
                <w:szCs w:val="22"/>
                <w:lang w:val="en-AU"/>
              </w:rPr>
              <w:t>If there are two consecutive intra-band carriers in one band, µ</w:t>
            </w:r>
            <w:r w:rsidRPr="00E61F00">
              <w:rPr>
                <w:rFonts w:eastAsia="MS Mincho"/>
                <w:sz w:val="22"/>
                <w:szCs w:val="22"/>
                <w:vertAlign w:val="subscript"/>
                <w:lang w:val="en-AU"/>
              </w:rPr>
              <w:t>UL, 1</w:t>
            </w:r>
            <w:r w:rsidRPr="00E61F00">
              <w:rPr>
                <w:rFonts w:eastAsia="MS Mincho"/>
                <w:sz w:val="22"/>
                <w:szCs w:val="22"/>
                <w:lang w:val="en-AU"/>
              </w:rPr>
              <w:t xml:space="preserve"> = </w:t>
            </w:r>
            <w:proofErr w:type="gramStart"/>
            <w:r w:rsidRPr="00E61F00">
              <w:rPr>
                <w:rFonts w:eastAsia="MS Mincho"/>
                <w:sz w:val="22"/>
                <w:szCs w:val="22"/>
                <w:lang w:val="en-AU"/>
              </w:rPr>
              <w:t>max(</w:t>
            </w:r>
            <w:proofErr w:type="gramEnd"/>
            <w:r w:rsidRPr="00E61F00">
              <w:rPr>
                <w:rFonts w:eastAsia="MS Mincho"/>
                <w:sz w:val="22"/>
                <w:szCs w:val="22"/>
                <w:lang w:val="en-AU"/>
              </w:rPr>
              <w:t>µ</w:t>
            </w:r>
            <w:r w:rsidRPr="00E61F00">
              <w:rPr>
                <w:rFonts w:eastAsia="MS Mincho"/>
                <w:sz w:val="22"/>
                <w:szCs w:val="22"/>
                <w:vertAlign w:val="subscript"/>
                <w:lang w:val="en-AU"/>
              </w:rPr>
              <w:t>UL, 1-1</w:t>
            </w:r>
            <w:r w:rsidRPr="00E61F00">
              <w:rPr>
                <w:rFonts w:eastAsia="MS Mincho"/>
                <w:sz w:val="22"/>
                <w:szCs w:val="22"/>
                <w:lang w:val="en-AU"/>
              </w:rPr>
              <w:t>, µ</w:t>
            </w:r>
            <w:r w:rsidRPr="00E61F00">
              <w:rPr>
                <w:rFonts w:eastAsia="MS Mincho"/>
                <w:sz w:val="22"/>
                <w:szCs w:val="22"/>
                <w:vertAlign w:val="subscript"/>
                <w:lang w:val="en-AU"/>
              </w:rPr>
              <w:t>UL, 1-2</w:t>
            </w:r>
            <w:r w:rsidRPr="00E61F00">
              <w:rPr>
                <w:rFonts w:eastAsia="MS Mincho"/>
                <w:sz w:val="22"/>
                <w:szCs w:val="22"/>
                <w:lang w:val="en-AU"/>
              </w:rPr>
              <w:t>), where µ</w:t>
            </w:r>
            <w:r w:rsidRPr="00E61F00">
              <w:rPr>
                <w:rFonts w:eastAsia="MS Mincho"/>
                <w:sz w:val="22"/>
                <w:szCs w:val="22"/>
                <w:vertAlign w:val="subscript"/>
                <w:lang w:val="en-AU"/>
              </w:rPr>
              <w:t xml:space="preserve">UL, 1-1 </w:t>
            </w:r>
            <w:r w:rsidRPr="00E61F00">
              <w:rPr>
                <w:rFonts w:eastAsia="MS Mincho"/>
                <w:sz w:val="22"/>
                <w:szCs w:val="22"/>
                <w:lang w:val="en-AU"/>
              </w:rPr>
              <w:t>and µ</w:t>
            </w:r>
            <w:r w:rsidRPr="00E61F00">
              <w:rPr>
                <w:rFonts w:eastAsia="MS Mincho"/>
                <w:sz w:val="22"/>
                <w:szCs w:val="22"/>
                <w:vertAlign w:val="subscript"/>
                <w:lang w:val="en-AU"/>
              </w:rPr>
              <w:t>UL, 1-2</w:t>
            </w:r>
            <w:r w:rsidRPr="00E61F00">
              <w:rPr>
                <w:rFonts w:eastAsia="MS Mincho"/>
                <w:sz w:val="22"/>
                <w:szCs w:val="22"/>
                <w:lang w:val="en-AU"/>
              </w:rPr>
              <w:t> are SCSs of active UL bandwidth parts of the carriers in the band</w:t>
            </w:r>
          </w:p>
          <w:p w14:paraId="7AB4F463" w14:textId="77777777" w:rsidR="00B94601" w:rsidRDefault="00B94601" w:rsidP="0032747F">
            <w:pPr>
              <w:pStyle w:val="ListParagraph"/>
              <w:numPr>
                <w:ilvl w:val="0"/>
                <w:numId w:val="35"/>
              </w:numPr>
              <w:contextualSpacing w:val="0"/>
              <w:rPr>
                <w:rFonts w:eastAsia="MS Mincho"/>
                <w:sz w:val="22"/>
                <w:szCs w:val="22"/>
                <w:lang w:val="en-AU"/>
              </w:rPr>
            </w:pPr>
            <w:bookmarkStart w:id="4" w:name="_Hlk127370186"/>
            <w:r w:rsidRPr="00E61F00">
              <w:rPr>
                <w:rFonts w:eastAsia="MS Mincho"/>
                <w:sz w:val="22"/>
                <w:szCs w:val="22"/>
                <w:highlight w:val="darkYellow"/>
                <w:lang w:val="en-AU"/>
              </w:rPr>
              <w:t>(</w:t>
            </w:r>
            <w:proofErr w:type="gramStart"/>
            <w:r w:rsidRPr="00E61F00">
              <w:rPr>
                <w:rFonts w:eastAsia="MS Mincho"/>
                <w:sz w:val="22"/>
                <w:szCs w:val="22"/>
                <w:highlight w:val="darkYellow"/>
                <w:lang w:val="en-AU"/>
              </w:rPr>
              <w:t>working</w:t>
            </w:r>
            <w:proofErr w:type="gramEnd"/>
            <w:r w:rsidRPr="00E61F00">
              <w:rPr>
                <w:rFonts w:eastAsia="MS Mincho"/>
                <w:sz w:val="22"/>
                <w:szCs w:val="22"/>
                <w:highlight w:val="darkYellow"/>
                <w:lang w:val="en-AU"/>
              </w:rPr>
              <w:t xml:space="preserve"> assumption)</w:t>
            </w:r>
            <w:r w:rsidRPr="00E61F00">
              <w:rPr>
                <w:rFonts w:eastAsia="MS Mincho"/>
                <w:sz w:val="22"/>
                <w:szCs w:val="22"/>
                <w:lang w:val="en-AU"/>
              </w:rPr>
              <w:t xml:space="preserve"> If two uplink switching are triggered and result in UL transmissions on more than 2 bands within any two consecutive reference slots, then the time duration between the end of </w:t>
            </w:r>
            <w:r w:rsidRPr="00E61F00">
              <w:rPr>
                <w:sz w:val="22"/>
                <w:szCs w:val="22"/>
              </w:rPr>
              <w:t xml:space="preserve">all </w:t>
            </w:r>
            <w:r w:rsidRPr="00E61F00">
              <w:rPr>
                <w:rFonts w:eastAsia="MS Mincho"/>
                <w:sz w:val="22"/>
                <w:szCs w:val="22"/>
                <w:lang w:val="en-AU"/>
              </w:rPr>
              <w:t>transmission</w:t>
            </w:r>
            <w:r w:rsidRPr="00E61F00">
              <w:rPr>
                <w:sz w:val="22"/>
                <w:szCs w:val="22"/>
              </w:rPr>
              <w:t>(s) prior to the first uplink switching</w:t>
            </w:r>
            <w:r w:rsidRPr="00E61F00">
              <w:rPr>
                <w:rFonts w:eastAsia="MS Mincho"/>
                <w:sz w:val="22"/>
                <w:szCs w:val="22"/>
                <w:lang w:val="en-AU"/>
              </w:rPr>
              <w:t xml:space="preserve"> and the start of </w:t>
            </w:r>
            <w:r w:rsidRPr="00E61F00">
              <w:rPr>
                <w:sz w:val="22"/>
                <w:szCs w:val="22"/>
              </w:rPr>
              <w:t>all</w:t>
            </w:r>
            <w:r w:rsidRPr="00E61F00">
              <w:rPr>
                <w:rFonts w:eastAsia="MS Mincho"/>
                <w:sz w:val="22"/>
                <w:szCs w:val="22"/>
                <w:lang w:val="en-AU"/>
              </w:rPr>
              <w:t xml:space="preserve"> transmission</w:t>
            </w:r>
            <w:r w:rsidRPr="00E61F00">
              <w:rPr>
                <w:sz w:val="22"/>
                <w:szCs w:val="22"/>
              </w:rPr>
              <w:t>(s) after the second uplink switching</w:t>
            </w:r>
            <w:r w:rsidRPr="00E61F00">
              <w:rPr>
                <w:rFonts w:eastAsia="MS Mincho"/>
                <w:sz w:val="22"/>
                <w:szCs w:val="22"/>
                <w:lang w:val="en-AU"/>
              </w:rPr>
              <w:t xml:space="preserve"> within the two reference slots is expected to be not less than a minimum separation time </w:t>
            </w:r>
          </w:p>
          <w:p w14:paraId="0B107094" w14:textId="77777777" w:rsidR="00B94601" w:rsidRDefault="00B94601" w:rsidP="0032747F">
            <w:pPr>
              <w:pStyle w:val="ListParagraph"/>
              <w:numPr>
                <w:ilvl w:val="1"/>
                <w:numId w:val="35"/>
              </w:numPr>
              <w:contextualSpacing w:val="0"/>
              <w:rPr>
                <w:rFonts w:eastAsia="MS Mincho"/>
                <w:sz w:val="22"/>
                <w:szCs w:val="22"/>
                <w:lang w:val="en-AU"/>
              </w:rPr>
            </w:pPr>
            <w:r w:rsidRPr="00E61F00">
              <w:rPr>
                <w:rFonts w:eastAsia="MS Mincho"/>
                <w:sz w:val="22"/>
                <w:szCs w:val="22"/>
                <w:lang w:val="en-AU"/>
              </w:rPr>
              <w:t xml:space="preserve">The minimum separation time is a sum of X us and the switching gap required for </w:t>
            </w:r>
            <w:r w:rsidRPr="00E61F00">
              <w:rPr>
                <w:sz w:val="22"/>
                <w:szCs w:val="22"/>
              </w:rPr>
              <w:t>the second uplink switching</w:t>
            </w:r>
            <w:r w:rsidRPr="00E61F00">
              <w:rPr>
                <w:rFonts w:eastAsia="MS Mincho"/>
                <w:sz w:val="22"/>
                <w:szCs w:val="22"/>
                <w:lang w:val="en-AU"/>
              </w:rPr>
              <w:t>.</w:t>
            </w:r>
          </w:p>
          <w:p w14:paraId="22C8972D" w14:textId="70F6ABE3" w:rsidR="00B94601" w:rsidRPr="00B94601" w:rsidRDefault="00B94601" w:rsidP="0032747F">
            <w:pPr>
              <w:pStyle w:val="ListParagraph"/>
              <w:numPr>
                <w:ilvl w:val="1"/>
                <w:numId w:val="35"/>
              </w:numPr>
              <w:contextualSpacing w:val="0"/>
              <w:rPr>
                <w:rFonts w:eastAsia="MS Mincho"/>
                <w:sz w:val="22"/>
                <w:szCs w:val="22"/>
                <w:lang w:val="en-AU"/>
              </w:rPr>
            </w:pPr>
            <w:r w:rsidRPr="00E61F00">
              <w:rPr>
                <w:rFonts w:eastAsia="MS Mincho"/>
                <w:sz w:val="22"/>
                <w:szCs w:val="22"/>
                <w:lang w:val="en-AU"/>
              </w:rPr>
              <w:t>X us is subject to UE capability with a value set of {0us, 500us}</w:t>
            </w:r>
            <w:bookmarkEnd w:id="4"/>
          </w:p>
        </w:tc>
      </w:tr>
    </w:tbl>
    <w:p w14:paraId="4EB6B0CB" w14:textId="430A5805" w:rsidR="00B94601" w:rsidRDefault="00B94601" w:rsidP="00B94601"/>
    <w:p w14:paraId="7EDF9B3E" w14:textId="250F538F" w:rsidR="00473358" w:rsidRDefault="00473358" w:rsidP="00B94601">
      <w:r>
        <w:t xml:space="preserve">According to the working assumption, taking a 15 kHz FDD – 30 kHz TDD CA where the TDD pattern is DDDSU with S-slot 10:2:2 for </w:t>
      </w:r>
      <w:proofErr w:type="spellStart"/>
      <w:r>
        <w:t>DL:gap:UL</w:t>
      </w:r>
      <w:proofErr w:type="spellEnd"/>
      <w:r>
        <w:t xml:space="preserve"> symbols, and placing the switching period on the TDD carrier, with 140 us switching period the 500 us + 1 x switching period separation time just works, as depicted in </w:t>
      </w:r>
      <w:r>
        <w:fldChar w:fldCharType="begin"/>
      </w:r>
      <w:r>
        <w:instrText xml:space="preserve"> REF _Ref127388807 \h </w:instrText>
      </w:r>
      <w:r>
        <w:fldChar w:fldCharType="separate"/>
      </w:r>
      <w:r>
        <w:t xml:space="preserve">Figure </w:t>
      </w:r>
      <w:r>
        <w:rPr>
          <w:noProof/>
        </w:rPr>
        <w:t>2</w:t>
      </w:r>
      <w:r>
        <w:fldChar w:fldCharType="end"/>
      </w:r>
      <w:r>
        <w:t>. However, if the switching period is 210 us, then the minimum separation between the switch-to-TDD carrier and switch-from-TDD carrier is still 18 symbols (500 us + 140 us), but the minimum separation required by the UE is 500 us + 210 us.</w:t>
      </w:r>
    </w:p>
    <w:p w14:paraId="558A5FB4" w14:textId="77777777" w:rsidR="00296AB7" w:rsidRDefault="00296AB7" w:rsidP="00296AB7">
      <w:pPr>
        <w:pStyle w:val="3GPPNormalText"/>
      </w:pPr>
      <w:r w:rsidRPr="001A70A3">
        <w:rPr>
          <w:noProof/>
        </w:rPr>
        <w:drawing>
          <wp:inline distT="0" distB="0" distL="0" distR="0" wp14:anchorId="50241CFB" wp14:editId="1478B023">
            <wp:extent cx="6120765" cy="5556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0C461DCB" w14:textId="60E43E9E" w:rsidR="00296AB7" w:rsidRDefault="00296AB7" w:rsidP="00296AB7">
      <w:pPr>
        <w:pStyle w:val="Caption"/>
        <w:jc w:val="both"/>
      </w:pPr>
      <w:bookmarkStart w:id="5" w:name="_Ref127388807"/>
      <w:r>
        <w:t xml:space="preserve">Figure </w:t>
      </w:r>
      <w:r>
        <w:fldChar w:fldCharType="begin"/>
      </w:r>
      <w:r>
        <w:instrText xml:space="preserve"> SEQ Figure \* ARABIC </w:instrText>
      </w:r>
      <w:r>
        <w:fldChar w:fldCharType="separate"/>
      </w:r>
      <w:r>
        <w:rPr>
          <w:noProof/>
        </w:rPr>
        <w:t>2</w:t>
      </w:r>
      <w:r>
        <w:fldChar w:fldCharType="end"/>
      </w:r>
      <w:bookmarkEnd w:id="5"/>
      <w:r>
        <w:t>: FDD15-TDD30 with DDDSU (10:2:2), switching period on the TDD UL (140 us switching period)</w:t>
      </w:r>
    </w:p>
    <w:p w14:paraId="4AFB89E4" w14:textId="77777777" w:rsidR="00473358" w:rsidRDefault="00473358" w:rsidP="00B94601">
      <w:pPr>
        <w:rPr>
          <w:b/>
          <w:bCs/>
        </w:rPr>
      </w:pPr>
    </w:p>
    <w:p w14:paraId="2E9998DF" w14:textId="71CC05BC" w:rsidR="00296AB7" w:rsidRPr="00473358" w:rsidRDefault="00473358" w:rsidP="00B94601">
      <w:r>
        <w:rPr>
          <w:b/>
          <w:bCs/>
        </w:rPr>
        <w:t>Observation 4</w:t>
      </w:r>
      <w:r>
        <w:t>: The working assumption with X=500 us limits placing the switching period on the TDD uplink with some TDD patterns and some switching period capabilities.</w:t>
      </w:r>
    </w:p>
    <w:p w14:paraId="6A431B68" w14:textId="21776540" w:rsidR="00B95B06" w:rsidRDefault="00DC4F56" w:rsidP="00B94601">
      <w:r>
        <w:rPr>
          <w:b/>
          <w:bCs/>
        </w:rPr>
        <w:t xml:space="preserve">Proposal </w:t>
      </w:r>
      <w:r w:rsidR="00BE3828">
        <w:rPr>
          <w:b/>
          <w:bCs/>
        </w:rPr>
        <w:t>2</w:t>
      </w:r>
      <w:r>
        <w:rPr>
          <w:b/>
          <w:bCs/>
        </w:rPr>
        <w:t xml:space="preserve">: </w:t>
      </w:r>
      <w:r>
        <w:t>Amend the working assumption to</w:t>
      </w:r>
    </w:p>
    <w:p w14:paraId="11B8AB70" w14:textId="6F90DE12" w:rsidR="00DC4F56" w:rsidRDefault="00DC4F56" w:rsidP="00DC4F56">
      <w:pPr>
        <w:pStyle w:val="ListParagraph"/>
        <w:numPr>
          <w:ilvl w:val="1"/>
          <w:numId w:val="35"/>
        </w:numPr>
        <w:contextualSpacing w:val="0"/>
        <w:rPr>
          <w:rFonts w:eastAsia="MS Mincho"/>
          <w:sz w:val="22"/>
          <w:szCs w:val="22"/>
          <w:lang w:val="en-AU"/>
        </w:rPr>
      </w:pPr>
      <w:r w:rsidRPr="00E61F00">
        <w:rPr>
          <w:rFonts w:eastAsia="MS Mincho"/>
          <w:sz w:val="22"/>
          <w:szCs w:val="22"/>
          <w:lang w:val="en-AU"/>
        </w:rPr>
        <w:t xml:space="preserve">The minimum separation time is a </w:t>
      </w:r>
      <w:r w:rsidRPr="00DC4F56">
        <w:rPr>
          <w:rFonts w:eastAsia="MS Mincho"/>
          <w:strike/>
          <w:color w:val="FF0000"/>
          <w:sz w:val="22"/>
          <w:szCs w:val="22"/>
          <w:lang w:val="en-AU"/>
        </w:rPr>
        <w:t>sum</w:t>
      </w:r>
      <w:r>
        <w:rPr>
          <w:rFonts w:eastAsia="MS Mincho"/>
          <w:color w:val="FF0000"/>
          <w:sz w:val="22"/>
          <w:szCs w:val="22"/>
          <w:lang w:val="en-AU"/>
        </w:rPr>
        <w:t xml:space="preserve"> </w:t>
      </w:r>
      <w:r w:rsidRPr="00DC4F56">
        <w:rPr>
          <w:rFonts w:eastAsia="MS Mincho"/>
          <w:color w:val="FF0000"/>
          <w:sz w:val="22"/>
          <w:szCs w:val="22"/>
          <w:u w:val="single"/>
          <w:lang w:val="en-AU"/>
        </w:rPr>
        <w:t>maximum</w:t>
      </w:r>
      <w:r w:rsidRPr="00DC4F56">
        <w:rPr>
          <w:rFonts w:eastAsia="MS Mincho"/>
          <w:color w:val="FF0000"/>
          <w:sz w:val="22"/>
          <w:szCs w:val="22"/>
          <w:lang w:val="en-AU"/>
        </w:rPr>
        <w:t xml:space="preserve"> </w:t>
      </w:r>
      <w:r w:rsidRPr="00E61F00">
        <w:rPr>
          <w:rFonts w:eastAsia="MS Mincho"/>
          <w:sz w:val="22"/>
          <w:szCs w:val="22"/>
          <w:lang w:val="en-AU"/>
        </w:rPr>
        <w:t xml:space="preserve">of </w:t>
      </w:r>
      <w:r>
        <w:rPr>
          <w:rFonts w:eastAsia="MS Mincho"/>
          <w:color w:val="FF0000"/>
          <w:sz w:val="22"/>
          <w:szCs w:val="22"/>
          <w:u w:val="single"/>
          <w:lang w:val="en-AU"/>
        </w:rPr>
        <w:t>{</w:t>
      </w:r>
      <w:r w:rsidRPr="00E61F00">
        <w:rPr>
          <w:rFonts w:eastAsia="MS Mincho"/>
          <w:sz w:val="22"/>
          <w:szCs w:val="22"/>
          <w:lang w:val="en-AU"/>
        </w:rPr>
        <w:t>X us</w:t>
      </w:r>
      <w:r>
        <w:rPr>
          <w:rFonts w:eastAsia="MS Mincho"/>
          <w:color w:val="FF0000"/>
          <w:sz w:val="22"/>
          <w:szCs w:val="22"/>
          <w:u w:val="single"/>
          <w:lang w:val="en-AU"/>
        </w:rPr>
        <w:t>,</w:t>
      </w:r>
      <w:r w:rsidRPr="00E61F00">
        <w:rPr>
          <w:rFonts w:eastAsia="MS Mincho"/>
          <w:sz w:val="22"/>
          <w:szCs w:val="22"/>
          <w:lang w:val="en-AU"/>
        </w:rPr>
        <w:t xml:space="preserve"> </w:t>
      </w:r>
      <w:r w:rsidRPr="00DC4F56">
        <w:rPr>
          <w:rFonts w:eastAsia="MS Mincho"/>
          <w:strike/>
          <w:color w:val="FF0000"/>
          <w:sz w:val="22"/>
          <w:szCs w:val="22"/>
          <w:lang w:val="en-AU"/>
        </w:rPr>
        <w:t>and</w:t>
      </w:r>
      <w:r w:rsidRPr="00E61F00">
        <w:rPr>
          <w:rFonts w:eastAsia="MS Mincho"/>
          <w:sz w:val="22"/>
          <w:szCs w:val="22"/>
          <w:lang w:val="en-AU"/>
        </w:rPr>
        <w:t xml:space="preserve"> </w:t>
      </w:r>
      <w:r w:rsidRPr="00DC4F56">
        <w:rPr>
          <w:rFonts w:eastAsia="MS Mincho"/>
          <w:color w:val="FF0000"/>
          <w:sz w:val="22"/>
          <w:szCs w:val="22"/>
          <w:u w:val="single"/>
          <w:lang w:val="en-AU"/>
        </w:rPr>
        <w:t>2 x</w:t>
      </w:r>
      <w:r w:rsidRPr="00DC4F56">
        <w:rPr>
          <w:rFonts w:eastAsia="MS Mincho"/>
          <w:color w:val="FF0000"/>
          <w:sz w:val="22"/>
          <w:szCs w:val="22"/>
          <w:lang w:val="en-AU"/>
        </w:rPr>
        <w:t xml:space="preserve"> </w:t>
      </w:r>
      <w:r w:rsidRPr="00E61F00">
        <w:rPr>
          <w:rFonts w:eastAsia="MS Mincho"/>
          <w:sz w:val="22"/>
          <w:szCs w:val="22"/>
          <w:lang w:val="en-AU"/>
        </w:rPr>
        <w:t xml:space="preserve">the switching gap required for </w:t>
      </w:r>
      <w:r w:rsidRPr="00E61F00">
        <w:rPr>
          <w:sz w:val="22"/>
          <w:szCs w:val="22"/>
        </w:rPr>
        <w:t xml:space="preserve">the </w:t>
      </w:r>
      <w:r w:rsidRPr="00DC4F56">
        <w:rPr>
          <w:strike/>
          <w:color w:val="FF0000"/>
          <w:sz w:val="22"/>
          <w:szCs w:val="22"/>
        </w:rPr>
        <w:t>second</w:t>
      </w:r>
      <w:r w:rsidRPr="00E61F00">
        <w:rPr>
          <w:sz w:val="22"/>
          <w:szCs w:val="22"/>
        </w:rPr>
        <w:t xml:space="preserve"> uplink switching</w:t>
      </w:r>
      <w:r>
        <w:rPr>
          <w:rFonts w:eastAsia="MS Mincho"/>
          <w:color w:val="FF0000"/>
          <w:sz w:val="22"/>
          <w:szCs w:val="22"/>
          <w:u w:val="single"/>
          <w:lang w:val="en-AU"/>
        </w:rPr>
        <w:t>}</w:t>
      </w:r>
      <w:r w:rsidRPr="00E61F00">
        <w:rPr>
          <w:rFonts w:eastAsia="MS Mincho"/>
          <w:sz w:val="22"/>
          <w:szCs w:val="22"/>
          <w:lang w:val="en-AU"/>
        </w:rPr>
        <w:t>.</w:t>
      </w:r>
    </w:p>
    <w:p w14:paraId="3BC60ECD" w14:textId="511CE528" w:rsidR="00DC4F56" w:rsidRDefault="00DC4F56" w:rsidP="00DC4F56">
      <w:pPr>
        <w:pStyle w:val="ListParagraph"/>
        <w:numPr>
          <w:ilvl w:val="1"/>
          <w:numId w:val="35"/>
        </w:numPr>
        <w:contextualSpacing w:val="0"/>
        <w:rPr>
          <w:rFonts w:eastAsia="MS Mincho"/>
          <w:sz w:val="22"/>
          <w:szCs w:val="22"/>
          <w:lang w:val="en-AU"/>
        </w:rPr>
      </w:pPr>
      <w:r w:rsidRPr="00DC4F56">
        <w:rPr>
          <w:rFonts w:eastAsia="MS Mincho"/>
          <w:sz w:val="22"/>
          <w:szCs w:val="22"/>
          <w:lang w:val="en-AU"/>
        </w:rPr>
        <w:t>X us is subject to UE capability with a value set of {0us, 500us}</w:t>
      </w:r>
    </w:p>
    <w:p w14:paraId="5C900C11" w14:textId="77777777" w:rsidR="00DC4F56" w:rsidRPr="00DC4F56" w:rsidRDefault="00DC4F56" w:rsidP="00DC4F56">
      <w:pPr>
        <w:pStyle w:val="ListParagraph"/>
        <w:ind w:left="840"/>
        <w:contextualSpacing w:val="0"/>
        <w:rPr>
          <w:rFonts w:eastAsia="MS Mincho"/>
          <w:sz w:val="22"/>
          <w:szCs w:val="22"/>
          <w:lang w:val="en-AU"/>
        </w:rPr>
      </w:pPr>
    </w:p>
    <w:p w14:paraId="1844742F" w14:textId="77777777" w:rsidR="00DC4F56" w:rsidRDefault="00DC4F56" w:rsidP="00B94601"/>
    <w:p w14:paraId="2F0A09E1" w14:textId="47B3CD24" w:rsidR="009C3BD1" w:rsidRDefault="009C3BD1" w:rsidP="00B94601">
      <w:r>
        <w:t xml:space="preserve">When considering </w:t>
      </w:r>
      <w:r w:rsidR="00E84B76">
        <w:t>two</w:t>
      </w:r>
      <w:r>
        <w:t xml:space="preserve"> timing advance groups, where the uplinks are not symbol-boundary alignment, at least one additional symbol needs to be sacrificed for the switch</w:t>
      </w:r>
      <w:r w:rsidR="00537AEF">
        <w:t xml:space="preserve">, </w:t>
      </w:r>
      <w:r>
        <w:t>With the X=500 us and the minimum separation time of X + one switching gap further reduces the TDD patterns that can be applied with UL Tx Switching.</w:t>
      </w:r>
      <w:r w:rsidR="00E81762">
        <w:t xml:space="preserve"> </w:t>
      </w:r>
      <w:proofErr w:type="gramStart"/>
      <w:r w:rsidR="00E81762">
        <w:t>Thus</w:t>
      </w:r>
      <w:proofErr w:type="gramEnd"/>
      <w:r w:rsidR="00E81762">
        <w:t xml:space="preserve"> it is important to reduce the minimum separation time by one symbol duration to still be able to operate the same TDD configurations.</w:t>
      </w:r>
    </w:p>
    <w:p w14:paraId="4653076B" w14:textId="0B390177" w:rsidR="00E84B76" w:rsidRDefault="00DC4F56" w:rsidP="00B94601">
      <w:r>
        <w:rPr>
          <w:b/>
          <w:bCs/>
        </w:rPr>
        <w:t xml:space="preserve">Proposal </w:t>
      </w:r>
      <w:r w:rsidR="00BE3828">
        <w:rPr>
          <w:b/>
          <w:bCs/>
        </w:rPr>
        <w:t>3</w:t>
      </w:r>
      <w:r>
        <w:rPr>
          <w:b/>
          <w:bCs/>
        </w:rPr>
        <w:t xml:space="preserve">: </w:t>
      </w:r>
      <w:r>
        <w:t>For two timing advance group support, modify th</w:t>
      </w:r>
      <w:r w:rsidR="00386EC2">
        <w:t>e working assumption to:</w:t>
      </w:r>
    </w:p>
    <w:p w14:paraId="71EED118" w14:textId="208EBCBD" w:rsidR="005134BA" w:rsidRPr="00BE3828" w:rsidRDefault="00386EC2" w:rsidP="005B0763">
      <w:pPr>
        <w:pStyle w:val="ListParagraph"/>
        <w:numPr>
          <w:ilvl w:val="1"/>
          <w:numId w:val="35"/>
        </w:numPr>
        <w:contextualSpacing w:val="0"/>
        <w:rPr>
          <w:rFonts w:eastAsia="MS Mincho"/>
          <w:sz w:val="22"/>
          <w:szCs w:val="22"/>
          <w:lang w:val="en-AU"/>
        </w:rPr>
      </w:pPr>
      <w:r w:rsidRPr="00DC4F56">
        <w:rPr>
          <w:rFonts w:eastAsia="MS Mincho"/>
          <w:sz w:val="22"/>
          <w:szCs w:val="22"/>
          <w:lang w:val="en-AU"/>
        </w:rPr>
        <w:lastRenderedPageBreak/>
        <w:t>X us is subject to UE capability with a value set of {0us, 500us}</w:t>
      </w:r>
      <w:r>
        <w:rPr>
          <w:rFonts w:eastAsia="MS Mincho"/>
          <w:sz w:val="22"/>
          <w:szCs w:val="22"/>
          <w:lang w:val="en-AU"/>
        </w:rPr>
        <w:t xml:space="preserve"> </w:t>
      </w:r>
      <w:r>
        <w:rPr>
          <w:rFonts w:eastAsia="MS Mincho"/>
          <w:color w:val="FF0000"/>
          <w:sz w:val="22"/>
          <w:szCs w:val="22"/>
          <w:u w:val="single"/>
          <w:lang w:val="en-AU"/>
        </w:rPr>
        <w:t>for single TAG, and {0, 430 us} for more than one TAG.</w:t>
      </w:r>
    </w:p>
    <w:bookmarkEnd w:id="1"/>
    <w:p w14:paraId="10445A01" w14:textId="480CC7E1" w:rsidR="00885580" w:rsidRPr="0000574B" w:rsidRDefault="007820D0" w:rsidP="00885580">
      <w:pPr>
        <w:pStyle w:val="Heading1"/>
      </w:pPr>
      <w:r w:rsidRPr="0000574B">
        <w:t>Conclusion</w:t>
      </w:r>
    </w:p>
    <w:p w14:paraId="7110A98A" w14:textId="7C9A622B" w:rsidR="00C57680" w:rsidRDefault="00806080" w:rsidP="009A7A28">
      <w:pPr>
        <w:jc w:val="both"/>
        <w:rPr>
          <w:sz w:val="22"/>
          <w:szCs w:val="22"/>
          <w:lang w:eastAsia="zh-CN"/>
        </w:rPr>
      </w:pPr>
      <w:r w:rsidRPr="00B2307B">
        <w:rPr>
          <w:sz w:val="22"/>
          <w:szCs w:val="22"/>
          <w:lang w:eastAsia="zh-CN"/>
        </w:rPr>
        <w:t xml:space="preserve">In this contribution </w:t>
      </w:r>
      <w:r w:rsidR="0078762A" w:rsidRPr="00B2307B">
        <w:rPr>
          <w:sz w:val="22"/>
          <w:szCs w:val="22"/>
          <w:lang w:eastAsia="zh-CN"/>
        </w:rPr>
        <w:t>the following observations and proposals are made:</w:t>
      </w:r>
    </w:p>
    <w:p w14:paraId="49B4FD5D" w14:textId="4056EA16" w:rsidR="00BE3828" w:rsidRPr="00BE3828" w:rsidRDefault="00BE3828" w:rsidP="009A7A28">
      <w:pPr>
        <w:jc w:val="both"/>
        <w:rPr>
          <w:b/>
          <w:bCs/>
          <w:sz w:val="22"/>
          <w:szCs w:val="22"/>
          <w:lang w:eastAsia="zh-CN"/>
        </w:rPr>
      </w:pPr>
      <w:r w:rsidRPr="00BE3828">
        <w:rPr>
          <w:b/>
          <w:bCs/>
          <w:sz w:val="22"/>
          <w:szCs w:val="22"/>
          <w:lang w:eastAsia="zh-CN"/>
        </w:rPr>
        <w:t>On the location of the switching period</w:t>
      </w:r>
    </w:p>
    <w:p w14:paraId="3AE0AB5F" w14:textId="77777777" w:rsidR="00BE3828" w:rsidRDefault="00BE3828" w:rsidP="00BE3828">
      <w:pPr>
        <w:ind w:left="284"/>
      </w:pPr>
      <w:r>
        <w:rPr>
          <w:b/>
          <w:bCs/>
        </w:rPr>
        <w:t xml:space="preserve">Observation 1: </w:t>
      </w:r>
      <w:r>
        <w:t>Contrary to the statement in clause 6.1.6, the TS 38.214 does not define the time-location of the switching period.</w:t>
      </w:r>
    </w:p>
    <w:p w14:paraId="581B1D26" w14:textId="77777777" w:rsidR="00BE3828" w:rsidRPr="0039138D" w:rsidRDefault="00BE3828" w:rsidP="00BE3828">
      <w:pPr>
        <w:ind w:left="284"/>
      </w:pPr>
      <w:r>
        <w:rPr>
          <w:b/>
          <w:bCs/>
        </w:rPr>
        <w:t xml:space="preserve">Observation 2: </w:t>
      </w:r>
      <w:r>
        <w:t>For EN-DC based switching the TS 38-101-3 unambiguously defines the switching period location relative to the E-UTRAN subframe boundary so that the switching period is always on the NR side of the sub-frame boundary. However, it is not clear what happens if the NR transmission doesn’t start right at the LTE sub-frame boundary.</w:t>
      </w:r>
    </w:p>
    <w:p w14:paraId="233A1924" w14:textId="77777777" w:rsidR="00BE3828" w:rsidRDefault="00BE3828" w:rsidP="00BE3828">
      <w:pPr>
        <w:ind w:left="284"/>
      </w:pPr>
      <w:r>
        <w:rPr>
          <w:b/>
          <w:bCs/>
        </w:rPr>
        <w:t>Observation 3</w:t>
      </w:r>
      <w:r>
        <w:t xml:space="preserve">: For CA and SUL-based switching the TS 38.101-1 defines whether the switching period </w:t>
      </w:r>
      <w:proofErr w:type="gramStart"/>
      <w:r>
        <w:t>is located in</w:t>
      </w:r>
      <w:proofErr w:type="gramEnd"/>
      <w:r>
        <w:t xml:space="preserve"> time before or after a switching reference point in time, but the reference point used is a slot/sub-slot boundary, which is not clear.</w:t>
      </w:r>
    </w:p>
    <w:p w14:paraId="48622C29" w14:textId="77777777" w:rsidR="00BE3828" w:rsidRPr="00BE3828" w:rsidRDefault="00BE3828" w:rsidP="00BE3828">
      <w:pPr>
        <w:ind w:left="284"/>
        <w:rPr>
          <w:b/>
          <w:bCs/>
          <w:iCs/>
        </w:rPr>
      </w:pPr>
      <w:r>
        <w:rPr>
          <w:b/>
          <w:bCs/>
          <w:iCs/>
          <w:lang w:eastAsia="zh-CN"/>
        </w:rPr>
        <w:t xml:space="preserve">Proposal 1: </w:t>
      </w:r>
      <w:r w:rsidRPr="00BE3828">
        <w:rPr>
          <w:iCs/>
          <w:lang w:eastAsia="zh-CN"/>
        </w:rPr>
        <w:t xml:space="preserve">Determine under AI 7.2 what is the correct interpretation of the </w:t>
      </w:r>
      <w:proofErr w:type="spellStart"/>
      <w:r w:rsidRPr="00BE3828">
        <w:rPr>
          <w:i/>
          <w:lang w:eastAsia="zh-CN"/>
        </w:rPr>
        <w:t>uplinkTxSwitchingPeriodLocation</w:t>
      </w:r>
      <w:proofErr w:type="spellEnd"/>
      <w:r w:rsidRPr="00BE3828">
        <w:rPr>
          <w:iCs/>
          <w:lang w:eastAsia="zh-CN"/>
        </w:rPr>
        <w:t xml:space="preserve"> before concluding on how the switching period location is extended to 3 or 4 bands.</w:t>
      </w:r>
    </w:p>
    <w:p w14:paraId="70691910" w14:textId="77777777" w:rsidR="00BE3828" w:rsidRDefault="00BE3828" w:rsidP="00BE3828">
      <w:pPr>
        <w:jc w:val="both"/>
        <w:rPr>
          <w:sz w:val="22"/>
          <w:szCs w:val="22"/>
          <w:lang w:eastAsia="zh-CN"/>
        </w:rPr>
      </w:pPr>
    </w:p>
    <w:p w14:paraId="4F8ABFF1" w14:textId="69D738A4" w:rsidR="00BE3828" w:rsidRPr="00BE3828" w:rsidRDefault="00BE3828" w:rsidP="00BE3828">
      <w:pPr>
        <w:jc w:val="both"/>
        <w:rPr>
          <w:b/>
          <w:bCs/>
          <w:sz w:val="22"/>
          <w:szCs w:val="22"/>
          <w:lang w:eastAsia="zh-CN"/>
        </w:rPr>
      </w:pPr>
      <w:r w:rsidRPr="00BE3828">
        <w:rPr>
          <w:b/>
          <w:bCs/>
          <w:sz w:val="22"/>
          <w:szCs w:val="22"/>
          <w:lang w:eastAsia="zh-CN"/>
        </w:rPr>
        <w:t>On the minimum separation of two switches</w:t>
      </w:r>
    </w:p>
    <w:p w14:paraId="32B54A5A" w14:textId="77777777" w:rsidR="00BE3828" w:rsidRPr="00473358" w:rsidRDefault="00BE3828" w:rsidP="00BE3828">
      <w:pPr>
        <w:ind w:left="284"/>
      </w:pPr>
      <w:r>
        <w:rPr>
          <w:b/>
          <w:bCs/>
        </w:rPr>
        <w:t>Observation 4</w:t>
      </w:r>
      <w:r>
        <w:t>: The working assumption with X=500 us limits placing the switching period on the TDD uplink with some TDD patterns and some switching period capabilities.</w:t>
      </w:r>
    </w:p>
    <w:p w14:paraId="6FF228A6" w14:textId="77777777" w:rsidR="00BE3828" w:rsidRDefault="00BE3828" w:rsidP="00BE3828">
      <w:pPr>
        <w:ind w:left="284"/>
      </w:pPr>
      <w:r>
        <w:rPr>
          <w:b/>
          <w:bCs/>
        </w:rPr>
        <w:t xml:space="preserve">Proposal 2: </w:t>
      </w:r>
      <w:r>
        <w:t>Amend the working assumption to</w:t>
      </w:r>
    </w:p>
    <w:p w14:paraId="380E4CDC" w14:textId="77777777" w:rsidR="00BE3828" w:rsidRDefault="00BE3828" w:rsidP="00BE3828">
      <w:pPr>
        <w:pStyle w:val="ListParagraph"/>
        <w:numPr>
          <w:ilvl w:val="1"/>
          <w:numId w:val="35"/>
        </w:numPr>
        <w:ind w:left="1124"/>
        <w:contextualSpacing w:val="0"/>
        <w:rPr>
          <w:rFonts w:eastAsia="MS Mincho"/>
          <w:sz w:val="22"/>
          <w:szCs w:val="22"/>
          <w:lang w:val="en-AU"/>
        </w:rPr>
      </w:pPr>
      <w:r w:rsidRPr="00E61F00">
        <w:rPr>
          <w:rFonts w:eastAsia="MS Mincho"/>
          <w:sz w:val="22"/>
          <w:szCs w:val="22"/>
          <w:lang w:val="en-AU"/>
        </w:rPr>
        <w:t xml:space="preserve">The minimum separation time is a </w:t>
      </w:r>
      <w:r w:rsidRPr="00DC4F56">
        <w:rPr>
          <w:rFonts w:eastAsia="MS Mincho"/>
          <w:strike/>
          <w:color w:val="FF0000"/>
          <w:sz w:val="22"/>
          <w:szCs w:val="22"/>
          <w:lang w:val="en-AU"/>
        </w:rPr>
        <w:t>sum</w:t>
      </w:r>
      <w:r>
        <w:rPr>
          <w:rFonts w:eastAsia="MS Mincho"/>
          <w:color w:val="FF0000"/>
          <w:sz w:val="22"/>
          <w:szCs w:val="22"/>
          <w:lang w:val="en-AU"/>
        </w:rPr>
        <w:t xml:space="preserve"> </w:t>
      </w:r>
      <w:r w:rsidRPr="00DC4F56">
        <w:rPr>
          <w:rFonts w:eastAsia="MS Mincho"/>
          <w:color w:val="FF0000"/>
          <w:sz w:val="22"/>
          <w:szCs w:val="22"/>
          <w:u w:val="single"/>
          <w:lang w:val="en-AU"/>
        </w:rPr>
        <w:t>maximum</w:t>
      </w:r>
      <w:r w:rsidRPr="00DC4F56">
        <w:rPr>
          <w:rFonts w:eastAsia="MS Mincho"/>
          <w:color w:val="FF0000"/>
          <w:sz w:val="22"/>
          <w:szCs w:val="22"/>
          <w:lang w:val="en-AU"/>
        </w:rPr>
        <w:t xml:space="preserve"> </w:t>
      </w:r>
      <w:r w:rsidRPr="00E61F00">
        <w:rPr>
          <w:rFonts w:eastAsia="MS Mincho"/>
          <w:sz w:val="22"/>
          <w:szCs w:val="22"/>
          <w:lang w:val="en-AU"/>
        </w:rPr>
        <w:t xml:space="preserve">of </w:t>
      </w:r>
      <w:r>
        <w:rPr>
          <w:rFonts w:eastAsia="MS Mincho"/>
          <w:color w:val="FF0000"/>
          <w:sz w:val="22"/>
          <w:szCs w:val="22"/>
          <w:u w:val="single"/>
          <w:lang w:val="en-AU"/>
        </w:rPr>
        <w:t>{</w:t>
      </w:r>
      <w:r w:rsidRPr="00E61F00">
        <w:rPr>
          <w:rFonts w:eastAsia="MS Mincho"/>
          <w:sz w:val="22"/>
          <w:szCs w:val="22"/>
          <w:lang w:val="en-AU"/>
        </w:rPr>
        <w:t>X us</w:t>
      </w:r>
      <w:r>
        <w:rPr>
          <w:rFonts w:eastAsia="MS Mincho"/>
          <w:color w:val="FF0000"/>
          <w:sz w:val="22"/>
          <w:szCs w:val="22"/>
          <w:u w:val="single"/>
          <w:lang w:val="en-AU"/>
        </w:rPr>
        <w:t>,</w:t>
      </w:r>
      <w:r w:rsidRPr="00E61F00">
        <w:rPr>
          <w:rFonts w:eastAsia="MS Mincho"/>
          <w:sz w:val="22"/>
          <w:szCs w:val="22"/>
          <w:lang w:val="en-AU"/>
        </w:rPr>
        <w:t xml:space="preserve"> </w:t>
      </w:r>
      <w:r w:rsidRPr="00DC4F56">
        <w:rPr>
          <w:rFonts w:eastAsia="MS Mincho"/>
          <w:strike/>
          <w:color w:val="FF0000"/>
          <w:sz w:val="22"/>
          <w:szCs w:val="22"/>
          <w:lang w:val="en-AU"/>
        </w:rPr>
        <w:t>and</w:t>
      </w:r>
      <w:r w:rsidRPr="00E61F00">
        <w:rPr>
          <w:rFonts w:eastAsia="MS Mincho"/>
          <w:sz w:val="22"/>
          <w:szCs w:val="22"/>
          <w:lang w:val="en-AU"/>
        </w:rPr>
        <w:t xml:space="preserve"> </w:t>
      </w:r>
      <w:r w:rsidRPr="00DC4F56">
        <w:rPr>
          <w:rFonts w:eastAsia="MS Mincho"/>
          <w:color w:val="FF0000"/>
          <w:sz w:val="22"/>
          <w:szCs w:val="22"/>
          <w:u w:val="single"/>
          <w:lang w:val="en-AU"/>
        </w:rPr>
        <w:t>2 x</w:t>
      </w:r>
      <w:r w:rsidRPr="00DC4F56">
        <w:rPr>
          <w:rFonts w:eastAsia="MS Mincho"/>
          <w:color w:val="FF0000"/>
          <w:sz w:val="22"/>
          <w:szCs w:val="22"/>
          <w:lang w:val="en-AU"/>
        </w:rPr>
        <w:t xml:space="preserve"> </w:t>
      </w:r>
      <w:r w:rsidRPr="00E61F00">
        <w:rPr>
          <w:rFonts w:eastAsia="MS Mincho"/>
          <w:sz w:val="22"/>
          <w:szCs w:val="22"/>
          <w:lang w:val="en-AU"/>
        </w:rPr>
        <w:t xml:space="preserve">the switching gap required for </w:t>
      </w:r>
      <w:r w:rsidRPr="00E61F00">
        <w:rPr>
          <w:sz w:val="22"/>
          <w:szCs w:val="22"/>
        </w:rPr>
        <w:t xml:space="preserve">the </w:t>
      </w:r>
      <w:r w:rsidRPr="00DC4F56">
        <w:rPr>
          <w:strike/>
          <w:color w:val="FF0000"/>
          <w:sz w:val="22"/>
          <w:szCs w:val="22"/>
        </w:rPr>
        <w:t>second</w:t>
      </w:r>
      <w:r w:rsidRPr="00E61F00">
        <w:rPr>
          <w:sz w:val="22"/>
          <w:szCs w:val="22"/>
        </w:rPr>
        <w:t xml:space="preserve"> uplink switching</w:t>
      </w:r>
      <w:r>
        <w:rPr>
          <w:rFonts w:eastAsia="MS Mincho"/>
          <w:color w:val="FF0000"/>
          <w:sz w:val="22"/>
          <w:szCs w:val="22"/>
          <w:u w:val="single"/>
          <w:lang w:val="en-AU"/>
        </w:rPr>
        <w:t>}</w:t>
      </w:r>
      <w:r w:rsidRPr="00E61F00">
        <w:rPr>
          <w:rFonts w:eastAsia="MS Mincho"/>
          <w:sz w:val="22"/>
          <w:szCs w:val="22"/>
          <w:lang w:val="en-AU"/>
        </w:rPr>
        <w:t>.</w:t>
      </w:r>
    </w:p>
    <w:p w14:paraId="17A764C6" w14:textId="77777777" w:rsidR="00BE3828" w:rsidRDefault="00BE3828" w:rsidP="00BE3828">
      <w:pPr>
        <w:pStyle w:val="ListParagraph"/>
        <w:numPr>
          <w:ilvl w:val="1"/>
          <w:numId w:val="35"/>
        </w:numPr>
        <w:ind w:left="1124"/>
        <w:contextualSpacing w:val="0"/>
        <w:rPr>
          <w:rFonts w:eastAsia="MS Mincho"/>
          <w:sz w:val="22"/>
          <w:szCs w:val="22"/>
          <w:lang w:val="en-AU"/>
        </w:rPr>
      </w:pPr>
      <w:r w:rsidRPr="00DC4F56">
        <w:rPr>
          <w:rFonts w:eastAsia="MS Mincho"/>
          <w:sz w:val="22"/>
          <w:szCs w:val="22"/>
          <w:lang w:val="en-AU"/>
        </w:rPr>
        <w:t>X us is subject to UE capability with a value set of {0us, 500us}</w:t>
      </w:r>
    </w:p>
    <w:p w14:paraId="0BD1B309" w14:textId="77777777" w:rsidR="00BE3828" w:rsidRPr="00DC4F56" w:rsidRDefault="00BE3828" w:rsidP="00BE3828">
      <w:pPr>
        <w:pStyle w:val="ListParagraph"/>
        <w:ind w:left="1124"/>
        <w:contextualSpacing w:val="0"/>
        <w:rPr>
          <w:rFonts w:eastAsia="MS Mincho"/>
          <w:sz w:val="22"/>
          <w:szCs w:val="22"/>
          <w:lang w:val="en-AU"/>
        </w:rPr>
      </w:pPr>
    </w:p>
    <w:p w14:paraId="13A96B9F" w14:textId="77777777" w:rsidR="00BE3828" w:rsidRDefault="00BE3828" w:rsidP="00BE3828">
      <w:pPr>
        <w:ind w:left="284"/>
      </w:pPr>
      <w:r>
        <w:rPr>
          <w:b/>
          <w:bCs/>
        </w:rPr>
        <w:t xml:space="preserve">Proposal 3: </w:t>
      </w:r>
      <w:r>
        <w:t>For two timing advance group support, modify the working assumption to:</w:t>
      </w:r>
    </w:p>
    <w:p w14:paraId="7D43F259" w14:textId="43BDA4F2" w:rsidR="00BE3828" w:rsidRPr="00BE3828" w:rsidRDefault="00BE3828" w:rsidP="009A7A28">
      <w:pPr>
        <w:pStyle w:val="ListParagraph"/>
        <w:numPr>
          <w:ilvl w:val="1"/>
          <w:numId w:val="35"/>
        </w:numPr>
        <w:ind w:left="1124"/>
        <w:contextualSpacing w:val="0"/>
        <w:rPr>
          <w:rFonts w:eastAsia="MS Mincho"/>
          <w:sz w:val="22"/>
          <w:szCs w:val="22"/>
          <w:lang w:val="en-AU"/>
        </w:rPr>
      </w:pPr>
      <w:r w:rsidRPr="00DC4F56">
        <w:rPr>
          <w:rFonts w:eastAsia="MS Mincho"/>
          <w:sz w:val="22"/>
          <w:szCs w:val="22"/>
          <w:lang w:val="en-AU"/>
        </w:rPr>
        <w:t>X us is subject to UE capability with a value set of {0us, 500us}</w:t>
      </w:r>
      <w:r>
        <w:rPr>
          <w:rFonts w:eastAsia="MS Mincho"/>
          <w:sz w:val="22"/>
          <w:szCs w:val="22"/>
          <w:lang w:val="en-AU"/>
        </w:rPr>
        <w:t xml:space="preserve"> </w:t>
      </w:r>
      <w:r>
        <w:rPr>
          <w:rFonts w:eastAsia="MS Mincho"/>
          <w:color w:val="FF0000"/>
          <w:sz w:val="22"/>
          <w:szCs w:val="22"/>
          <w:u w:val="single"/>
          <w:lang w:val="en-AU"/>
        </w:rPr>
        <w:t>for single TAG, and {0, 430 us} for more than one TAG.</w:t>
      </w:r>
    </w:p>
    <w:p w14:paraId="7D284B73" w14:textId="77777777" w:rsidR="009A7A28" w:rsidRDefault="009A7A28" w:rsidP="009A7A28">
      <w:pPr>
        <w:pStyle w:val="Heading1"/>
        <w:numPr>
          <w:ilvl w:val="0"/>
          <w:numId w:val="0"/>
        </w:numPr>
      </w:pPr>
      <w:r>
        <w:t>References</w:t>
      </w:r>
    </w:p>
    <w:p w14:paraId="5ADD54F4" w14:textId="416EEC99" w:rsidR="006C4DE8" w:rsidRDefault="00DC37DA" w:rsidP="006C4DE8">
      <w:pPr>
        <w:pStyle w:val="ListParagraph"/>
        <w:numPr>
          <w:ilvl w:val="0"/>
          <w:numId w:val="26"/>
        </w:numPr>
        <w:jc w:val="left"/>
      </w:pPr>
      <w:hyperlink r:id="rId19" w:history="1">
        <w:r w:rsidR="006C4DE8">
          <w:rPr>
            <w:rStyle w:val="Hyperlink"/>
          </w:rPr>
          <w:t>RP-222251</w:t>
        </w:r>
      </w:hyperlink>
      <w:r w:rsidR="006C4DE8">
        <w:t>,</w:t>
      </w:r>
      <w:r w:rsidR="006C4DE8">
        <w:tab/>
      </w:r>
      <w:r w:rsidR="006C4DE8" w:rsidRPr="006D5E99">
        <w:t>Revised WID on Multi-carrier enhancements</w:t>
      </w:r>
    </w:p>
    <w:p w14:paraId="547F0DCE" w14:textId="577778A1" w:rsidR="009A7A28" w:rsidRDefault="00DC37DA" w:rsidP="00EA0FB4">
      <w:pPr>
        <w:pStyle w:val="ListParagraph"/>
        <w:numPr>
          <w:ilvl w:val="0"/>
          <w:numId w:val="26"/>
        </w:numPr>
        <w:jc w:val="left"/>
      </w:pPr>
      <w:hyperlink r:id="rId20" w:history="1">
        <w:r w:rsidR="009A7A28">
          <w:rPr>
            <w:rStyle w:val="Hyperlink"/>
          </w:rPr>
          <w:t>RP-221880</w:t>
        </w:r>
      </w:hyperlink>
      <w:r w:rsidR="009A7A28">
        <w:t>,</w:t>
      </w:r>
      <w:r w:rsidR="009A7A28">
        <w:tab/>
        <w:t>Discussion on target scenarios for Rel-18 UL Tx switching in NR Multi-carrier enhancements WI, NTT DOCOMO, INC</w:t>
      </w:r>
    </w:p>
    <w:p w14:paraId="50455647" w14:textId="1D5BAA88" w:rsidR="00F12919" w:rsidRDefault="00DC37DA" w:rsidP="00EA0FB4">
      <w:pPr>
        <w:pStyle w:val="ListParagraph"/>
        <w:numPr>
          <w:ilvl w:val="0"/>
          <w:numId w:val="26"/>
        </w:numPr>
        <w:jc w:val="left"/>
      </w:pPr>
      <w:hyperlink r:id="rId21" w:history="1">
        <w:r w:rsidR="00514285" w:rsidRPr="00514285">
          <w:rPr>
            <w:rStyle w:val="Hyperlink"/>
          </w:rPr>
          <w:t>R1-2205502</w:t>
        </w:r>
      </w:hyperlink>
      <w:r w:rsidR="00514285">
        <w:t>, LS on UL Tx switching across 3 or 4 bands in Rel-18, RAN1</w:t>
      </w:r>
    </w:p>
    <w:p w14:paraId="6F3511CA" w14:textId="60A9E86A" w:rsidR="00514285" w:rsidRPr="00F12919" w:rsidRDefault="00DC37DA" w:rsidP="00F12919">
      <w:pPr>
        <w:pStyle w:val="ListParagraph"/>
        <w:numPr>
          <w:ilvl w:val="0"/>
          <w:numId w:val="26"/>
        </w:numPr>
        <w:rPr>
          <w:rFonts w:cs="Times"/>
          <w:szCs w:val="22"/>
          <w:lang w:eastAsia="ja-JP"/>
        </w:rPr>
      </w:pPr>
      <w:hyperlink r:id="rId22" w:history="1">
        <w:r w:rsidR="00F12919" w:rsidRPr="00F12919">
          <w:rPr>
            <w:rStyle w:val="Hyperlink"/>
            <w:rFonts w:cs="Times"/>
            <w:szCs w:val="22"/>
            <w:lang w:eastAsia="ja-JP"/>
          </w:rPr>
          <w:t>R1-2210723</w:t>
        </w:r>
      </w:hyperlink>
      <w:r w:rsidR="00F12919">
        <w:rPr>
          <w:rFonts w:cs="Times"/>
          <w:szCs w:val="22"/>
          <w:lang w:eastAsia="ja-JP"/>
        </w:rPr>
        <w:t xml:space="preserve">, </w:t>
      </w:r>
      <w:r w:rsidR="00F12919" w:rsidRPr="00F12919">
        <w:rPr>
          <w:rFonts w:cs="Times"/>
          <w:szCs w:val="22"/>
          <w:lang w:eastAsia="ja-JP"/>
        </w:rPr>
        <w:t>Summary#4 of discussion on multi-carrier UL Tx switching scheme</w:t>
      </w:r>
      <w:r w:rsidR="00F12919">
        <w:rPr>
          <w:rFonts w:cs="Times"/>
          <w:szCs w:val="22"/>
          <w:lang w:eastAsia="ja-JP"/>
        </w:rPr>
        <w:t xml:space="preserve">, </w:t>
      </w:r>
      <w:r w:rsidR="00F12919" w:rsidRPr="00F12919">
        <w:rPr>
          <w:rFonts w:cs="Times"/>
          <w:szCs w:val="22"/>
          <w:lang w:eastAsia="ja-JP"/>
        </w:rPr>
        <w:t>Moderator (NTT DOCOMO, INC.)</w:t>
      </w:r>
      <w:r w:rsidR="00514285">
        <w:tab/>
      </w:r>
    </w:p>
    <w:p w14:paraId="03381C28" w14:textId="71460F82" w:rsidR="005875DA" w:rsidRDefault="00DC37DA" w:rsidP="00EA0FB4">
      <w:pPr>
        <w:pStyle w:val="ListParagraph"/>
        <w:numPr>
          <w:ilvl w:val="0"/>
          <w:numId w:val="26"/>
        </w:numPr>
        <w:jc w:val="left"/>
      </w:pPr>
      <w:hyperlink r:id="rId23" w:history="1">
        <w:r w:rsidR="00F15FA0">
          <w:rPr>
            <w:rStyle w:val="Hyperlink"/>
          </w:rPr>
          <w:t>R1-2210819/R4-22117741</w:t>
        </w:r>
      </w:hyperlink>
      <w:r w:rsidR="005875DA" w:rsidRPr="005875DA">
        <w:t>, LS on Rel-18 UL Tx switching, RAN4 (C</w:t>
      </w:r>
      <w:r w:rsidR="0032747F">
        <w:t>hina Telecom</w:t>
      </w:r>
      <w:r w:rsidR="005875DA" w:rsidRPr="005875DA">
        <w:t>)</w:t>
      </w:r>
    </w:p>
    <w:p w14:paraId="51D868C8" w14:textId="27CDE8BC" w:rsidR="00D507D4" w:rsidRDefault="00DC37DA" w:rsidP="00EA0FB4">
      <w:pPr>
        <w:pStyle w:val="ListParagraph"/>
        <w:numPr>
          <w:ilvl w:val="0"/>
          <w:numId w:val="26"/>
        </w:numPr>
        <w:jc w:val="left"/>
      </w:pPr>
      <w:hyperlink r:id="rId24" w:history="1">
        <w:r w:rsidR="00D507D4" w:rsidRPr="00D507D4">
          <w:rPr>
            <w:rStyle w:val="Hyperlink"/>
          </w:rPr>
          <w:t>R1-2211285,</w:t>
        </w:r>
      </w:hyperlink>
      <w:r w:rsidR="00D507D4">
        <w:t xml:space="preserve"> </w:t>
      </w:r>
      <w:r w:rsidR="00D507D4" w:rsidRPr="00D507D4">
        <w:t>On Multi-Carrier UL Tx Switching, Nokia, Nokia Shanghai Bell</w:t>
      </w:r>
    </w:p>
    <w:p w14:paraId="5A4106C0" w14:textId="21664D8A" w:rsidR="00DF5FBC" w:rsidRDefault="00DC37DA" w:rsidP="00294FCA">
      <w:pPr>
        <w:pStyle w:val="ListParagraph"/>
        <w:numPr>
          <w:ilvl w:val="0"/>
          <w:numId w:val="26"/>
        </w:numPr>
        <w:jc w:val="left"/>
      </w:pPr>
      <w:hyperlink r:id="rId25" w:history="1">
        <w:r w:rsidR="00294FCA" w:rsidRPr="00294FCA">
          <w:rPr>
            <w:rStyle w:val="Hyperlink"/>
          </w:rPr>
          <w:t>R1-2212879</w:t>
        </w:r>
      </w:hyperlink>
      <w:r w:rsidR="00294FCA">
        <w:t>,</w:t>
      </w:r>
      <w:r w:rsidR="00294FCA" w:rsidRPr="00294FCA">
        <w:tab/>
        <w:t>Summary#3 of discussion on multi-carrier UL Tx switching scheme</w:t>
      </w:r>
      <w:r w:rsidR="00294FCA">
        <w:t xml:space="preserve">, </w:t>
      </w:r>
      <w:r w:rsidR="00294FCA" w:rsidRPr="00294FCA">
        <w:t>Moderator (NTT DOCOMO, INC.)</w:t>
      </w:r>
    </w:p>
    <w:p w14:paraId="098E1582" w14:textId="6CB9676B" w:rsidR="0032747F" w:rsidRDefault="00DC37DA" w:rsidP="00294FCA">
      <w:pPr>
        <w:pStyle w:val="ListParagraph"/>
        <w:numPr>
          <w:ilvl w:val="0"/>
          <w:numId w:val="26"/>
        </w:numPr>
        <w:jc w:val="left"/>
      </w:pPr>
      <w:hyperlink r:id="rId26" w:history="1">
        <w:r w:rsidR="0032747F" w:rsidRPr="0032747F">
          <w:rPr>
            <w:rStyle w:val="Hyperlink"/>
          </w:rPr>
          <w:t>R1-2300029/R4-2220548</w:t>
        </w:r>
      </w:hyperlink>
      <w:r w:rsidR="0032747F">
        <w:t>, LS on Rel-18 UL TX Switching, RAN4 (China Telecom)</w:t>
      </w:r>
    </w:p>
    <w:p w14:paraId="2B3DD937" w14:textId="1FC16E3B" w:rsidR="00752023" w:rsidRDefault="00DC37DA" w:rsidP="00752023">
      <w:pPr>
        <w:pStyle w:val="ListParagraph"/>
        <w:numPr>
          <w:ilvl w:val="0"/>
          <w:numId w:val="26"/>
        </w:numPr>
        <w:jc w:val="left"/>
      </w:pPr>
      <w:hyperlink r:id="rId27" w:history="1">
        <w:r w:rsidR="00752023">
          <w:rPr>
            <w:rStyle w:val="Hyperlink"/>
          </w:rPr>
          <w:t>R1-2300317</w:t>
        </w:r>
      </w:hyperlink>
      <w:r w:rsidR="00752023">
        <w:t xml:space="preserve">, 38.214 CR draft </w:t>
      </w:r>
      <w:r w:rsidR="00852482">
        <w:t>on</w:t>
      </w:r>
      <w:r w:rsidR="00752023">
        <w:t xml:space="preserve"> </w:t>
      </w:r>
      <w:r w:rsidR="00752023" w:rsidRPr="00752023">
        <w:t>Clarificat</w:t>
      </w:r>
      <w:r w:rsidR="00752023">
        <w:t>i</w:t>
      </w:r>
      <w:r w:rsidR="00752023" w:rsidRPr="00752023">
        <w:t>on to the switching gap location of the UL Tx Switching</w:t>
      </w:r>
      <w:r w:rsidR="00752023">
        <w:t>, Nokia, Nokia Shanghai Bell</w:t>
      </w:r>
    </w:p>
    <w:p w14:paraId="1DE9BE7F" w14:textId="0AC3A803" w:rsidR="00752023" w:rsidRPr="00294FCA" w:rsidRDefault="00DC37DA" w:rsidP="00752023">
      <w:pPr>
        <w:pStyle w:val="ListParagraph"/>
        <w:numPr>
          <w:ilvl w:val="0"/>
          <w:numId w:val="26"/>
        </w:numPr>
        <w:jc w:val="left"/>
      </w:pPr>
      <w:hyperlink r:id="rId28" w:history="1">
        <w:r w:rsidR="00A804BB">
          <w:rPr>
            <w:rStyle w:val="Hyperlink"/>
          </w:rPr>
          <w:t>R1-2300325</w:t>
        </w:r>
      </w:hyperlink>
      <w:r w:rsidR="00A804BB">
        <w:t xml:space="preserve">, On the </w:t>
      </w:r>
      <w:r w:rsidR="00A804BB" w:rsidRPr="00752023">
        <w:t>switching gap location of the UL Tx Switching</w:t>
      </w:r>
      <w:r w:rsidR="00A804BB">
        <w:t>, Nokia, Nokia Shanghai Bell</w:t>
      </w:r>
    </w:p>
    <w:sectPr w:rsidR="00752023" w:rsidRPr="00294FC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23F87" w14:textId="77777777" w:rsidR="00C927C2" w:rsidRDefault="00C927C2">
      <w:r>
        <w:separator/>
      </w:r>
    </w:p>
  </w:endnote>
  <w:endnote w:type="continuationSeparator" w:id="0">
    <w:p w14:paraId="2AD94BF1" w14:textId="77777777" w:rsidR="00C927C2" w:rsidRDefault="00C927C2">
      <w:r>
        <w:continuationSeparator/>
      </w:r>
    </w:p>
  </w:endnote>
  <w:endnote w:type="continuationNotice" w:id="1">
    <w:p w14:paraId="46C1098B" w14:textId="77777777" w:rsidR="00C927C2" w:rsidRDefault="00C92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DED6A" w14:textId="77777777" w:rsidR="00C927C2" w:rsidRDefault="00C927C2">
      <w:r>
        <w:separator/>
      </w:r>
    </w:p>
  </w:footnote>
  <w:footnote w:type="continuationSeparator" w:id="0">
    <w:p w14:paraId="61BE8724" w14:textId="77777777" w:rsidR="00C927C2" w:rsidRDefault="00C927C2">
      <w:r>
        <w:continuationSeparator/>
      </w:r>
    </w:p>
  </w:footnote>
  <w:footnote w:type="continuationNotice" w:id="1">
    <w:p w14:paraId="47DA2772" w14:textId="77777777" w:rsidR="00C927C2" w:rsidRDefault="00C927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4"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C348F9"/>
    <w:multiLevelType w:val="hybridMultilevel"/>
    <w:tmpl w:val="911EC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8A513B"/>
    <w:multiLevelType w:val="hybridMultilevel"/>
    <w:tmpl w:val="1A56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7"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8"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4"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8"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A83D62"/>
    <w:multiLevelType w:val="hybridMultilevel"/>
    <w:tmpl w:val="1A14BC54"/>
    <w:lvl w:ilvl="0" w:tplc="CEF06D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5"/>
  </w:num>
  <w:num w:numId="3">
    <w:abstractNumId w:val="2"/>
  </w:num>
  <w:num w:numId="4">
    <w:abstractNumId w:val="23"/>
  </w:num>
  <w:num w:numId="5">
    <w:abstractNumId w:val="38"/>
  </w:num>
  <w:num w:numId="6">
    <w:abstractNumId w:val="24"/>
  </w:num>
  <w:num w:numId="7">
    <w:abstractNumId w:val="21"/>
  </w:num>
  <w:num w:numId="8">
    <w:abstractNumId w:val="3"/>
  </w:num>
  <w:num w:numId="9">
    <w:abstractNumId w:val="36"/>
  </w:num>
  <w:num w:numId="10">
    <w:abstractNumId w:val="16"/>
  </w:num>
  <w:num w:numId="11">
    <w:abstractNumId w:val="29"/>
  </w:num>
  <w:num w:numId="12">
    <w:abstractNumId w:val="22"/>
  </w:num>
  <w:num w:numId="13">
    <w:abstractNumId w:val="9"/>
  </w:num>
  <w:num w:numId="14">
    <w:abstractNumId w:val="1"/>
  </w:num>
  <w:num w:numId="15">
    <w:abstractNumId w:val="34"/>
  </w:num>
  <w:num w:numId="16">
    <w:abstractNumId w:val="0"/>
  </w:num>
  <w:num w:numId="17">
    <w:abstractNumId w:val="26"/>
  </w:num>
  <w:num w:numId="18">
    <w:abstractNumId w:val="27"/>
  </w:num>
  <w:num w:numId="19">
    <w:abstractNumId w:val="37"/>
  </w:num>
  <w:num w:numId="20">
    <w:abstractNumId w:val="12"/>
  </w:num>
  <w:num w:numId="21">
    <w:abstractNumId w:val="19"/>
  </w:num>
  <w:num w:numId="22">
    <w:abstractNumId w:val="14"/>
  </w:num>
  <w:num w:numId="23">
    <w:abstractNumId w:val="8"/>
  </w:num>
  <w:num w:numId="24">
    <w:abstractNumId w:val="17"/>
  </w:num>
  <w:num w:numId="25">
    <w:abstractNumId w:val="25"/>
  </w:num>
  <w:num w:numId="26">
    <w:abstractNumId w:val="7"/>
  </w:num>
  <w:num w:numId="27">
    <w:abstractNumId w:val="11"/>
  </w:num>
  <w:num w:numId="28">
    <w:abstractNumId w:val="33"/>
  </w:num>
  <w:num w:numId="29">
    <w:abstractNumId w:val="13"/>
  </w:num>
  <w:num w:numId="30">
    <w:abstractNumId w:val="35"/>
  </w:num>
  <w:num w:numId="31">
    <w:abstractNumId w:val="28"/>
  </w:num>
  <w:num w:numId="32">
    <w:abstractNumId w:val="18"/>
  </w:num>
  <w:num w:numId="33">
    <w:abstractNumId w:val="30"/>
  </w:num>
  <w:num w:numId="34">
    <w:abstractNumId w:val="5"/>
  </w:num>
  <w:num w:numId="35">
    <w:abstractNumId w:val="6"/>
  </w:num>
  <w:num w:numId="36">
    <w:abstractNumId w:val="20"/>
  </w:num>
  <w:num w:numId="37">
    <w:abstractNumId w:val="4"/>
  </w:num>
  <w:num w:numId="38">
    <w:abstractNumId w:val="31"/>
  </w:num>
  <w:num w:numId="39">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29B"/>
    <w:rsid w:val="000006B4"/>
    <w:rsid w:val="00000789"/>
    <w:rsid w:val="00000842"/>
    <w:rsid w:val="00000D89"/>
    <w:rsid w:val="000012F2"/>
    <w:rsid w:val="00001328"/>
    <w:rsid w:val="0000145D"/>
    <w:rsid w:val="00001461"/>
    <w:rsid w:val="00001507"/>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0"/>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4E"/>
    <w:rsid w:val="000321F0"/>
    <w:rsid w:val="000323B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4C8"/>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29"/>
    <w:rsid w:val="000470D0"/>
    <w:rsid w:val="000471E3"/>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4E9"/>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AA4"/>
    <w:rsid w:val="00066B04"/>
    <w:rsid w:val="00066BA2"/>
    <w:rsid w:val="00066D88"/>
    <w:rsid w:val="00066DE8"/>
    <w:rsid w:val="00066EB1"/>
    <w:rsid w:val="00066F89"/>
    <w:rsid w:val="000670B9"/>
    <w:rsid w:val="00067197"/>
    <w:rsid w:val="000675E4"/>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2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42"/>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7F"/>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2F"/>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6F12"/>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CCF"/>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A78"/>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0B8"/>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67F1B"/>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2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4EE6"/>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B0"/>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0A3"/>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3D7"/>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3F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7F6"/>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6C"/>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8B4"/>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4FCA"/>
    <w:rsid w:val="00295016"/>
    <w:rsid w:val="00295078"/>
    <w:rsid w:val="0029537E"/>
    <w:rsid w:val="002953C2"/>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AB7"/>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8FA"/>
    <w:rsid w:val="002D0985"/>
    <w:rsid w:val="002D0A19"/>
    <w:rsid w:val="002D0ADB"/>
    <w:rsid w:val="002D0B7A"/>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775"/>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73B"/>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7F"/>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C2"/>
    <w:rsid w:val="00386EF4"/>
    <w:rsid w:val="00386FBF"/>
    <w:rsid w:val="0038708C"/>
    <w:rsid w:val="00387180"/>
    <w:rsid w:val="00387230"/>
    <w:rsid w:val="003872EA"/>
    <w:rsid w:val="00387459"/>
    <w:rsid w:val="00387643"/>
    <w:rsid w:val="00387651"/>
    <w:rsid w:val="0038771D"/>
    <w:rsid w:val="00387CC0"/>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38D"/>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5A2"/>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6977"/>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47C"/>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5D8"/>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18B"/>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58"/>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B60"/>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6"/>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3F9F"/>
    <w:rsid w:val="004D4084"/>
    <w:rsid w:val="004D4162"/>
    <w:rsid w:val="004D41DC"/>
    <w:rsid w:val="004D450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FFC"/>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4BA"/>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77A"/>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7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AEF"/>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5DA"/>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763"/>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3E6"/>
    <w:rsid w:val="005E492C"/>
    <w:rsid w:val="005E497D"/>
    <w:rsid w:val="005E4AEA"/>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77"/>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81"/>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E1"/>
    <w:rsid w:val="006478FF"/>
    <w:rsid w:val="00647B93"/>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A74"/>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1A"/>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DE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9A"/>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914"/>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8B"/>
    <w:rsid w:val="007229CC"/>
    <w:rsid w:val="00722A25"/>
    <w:rsid w:val="00722CCB"/>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023"/>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62A"/>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751"/>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874"/>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4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9D1"/>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D36"/>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482"/>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91D"/>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1B"/>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E32"/>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C7F8E"/>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A2E"/>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E6"/>
    <w:rsid w:val="009406F1"/>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49E"/>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AF"/>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AF"/>
    <w:rsid w:val="009C18CC"/>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BD1"/>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A5F"/>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3198"/>
    <w:rsid w:val="00A13355"/>
    <w:rsid w:val="00A133C1"/>
    <w:rsid w:val="00A134A6"/>
    <w:rsid w:val="00A135B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CCB"/>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5D7"/>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234"/>
    <w:rsid w:val="00A462AC"/>
    <w:rsid w:val="00A4645A"/>
    <w:rsid w:val="00A464DB"/>
    <w:rsid w:val="00A46715"/>
    <w:rsid w:val="00A46ACA"/>
    <w:rsid w:val="00A47182"/>
    <w:rsid w:val="00A471A8"/>
    <w:rsid w:val="00A474AF"/>
    <w:rsid w:val="00A47573"/>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0D5"/>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BB"/>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5E"/>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1"/>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930"/>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07B"/>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3F0D"/>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5E"/>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2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01"/>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06"/>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C07"/>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828"/>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2D2"/>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E9A"/>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3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130E"/>
    <w:rsid w:val="00C313B9"/>
    <w:rsid w:val="00C31656"/>
    <w:rsid w:val="00C316F7"/>
    <w:rsid w:val="00C318B4"/>
    <w:rsid w:val="00C31950"/>
    <w:rsid w:val="00C31A20"/>
    <w:rsid w:val="00C31E16"/>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42C"/>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41"/>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4D3"/>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C2"/>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2EB"/>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751"/>
    <w:rsid w:val="00CB09DA"/>
    <w:rsid w:val="00CB0BD9"/>
    <w:rsid w:val="00CB0C46"/>
    <w:rsid w:val="00CB0DB4"/>
    <w:rsid w:val="00CB0ED8"/>
    <w:rsid w:val="00CB0F26"/>
    <w:rsid w:val="00CB12D2"/>
    <w:rsid w:val="00CB12D7"/>
    <w:rsid w:val="00CB12F1"/>
    <w:rsid w:val="00CB139C"/>
    <w:rsid w:val="00CB13C6"/>
    <w:rsid w:val="00CB16DD"/>
    <w:rsid w:val="00CB1B19"/>
    <w:rsid w:val="00CB1B86"/>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D72"/>
    <w:rsid w:val="00CB4E2D"/>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E9B"/>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46"/>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1CA"/>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7D4"/>
    <w:rsid w:val="00D50AFF"/>
    <w:rsid w:val="00D50B88"/>
    <w:rsid w:val="00D50BE5"/>
    <w:rsid w:val="00D50C12"/>
    <w:rsid w:val="00D50CB5"/>
    <w:rsid w:val="00D50CF0"/>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AA"/>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7"/>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C57"/>
    <w:rsid w:val="00D73DF2"/>
    <w:rsid w:val="00D73F2A"/>
    <w:rsid w:val="00D742FF"/>
    <w:rsid w:val="00D74561"/>
    <w:rsid w:val="00D7463A"/>
    <w:rsid w:val="00D746EF"/>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CC4"/>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3E6"/>
    <w:rsid w:val="00DC37DA"/>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4F56"/>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47"/>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7B"/>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62"/>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B76"/>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D21"/>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7A"/>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19"/>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526"/>
    <w:rsid w:val="00F15656"/>
    <w:rsid w:val="00F15843"/>
    <w:rsid w:val="00F15995"/>
    <w:rsid w:val="00F15CF5"/>
    <w:rsid w:val="00F15F64"/>
    <w:rsid w:val="00F15FA0"/>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57C"/>
    <w:rsid w:val="00F30718"/>
    <w:rsid w:val="00F30815"/>
    <w:rsid w:val="00F30930"/>
    <w:rsid w:val="00F30A34"/>
    <w:rsid w:val="00F30A4B"/>
    <w:rsid w:val="00F30AB8"/>
    <w:rsid w:val="00F30CAF"/>
    <w:rsid w:val="00F30FAA"/>
    <w:rsid w:val="00F315D3"/>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112"/>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905"/>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05"/>
    <w:rsid w:val="00FD417E"/>
    <w:rsid w:val="00FD43BA"/>
    <w:rsid w:val="00FD44C7"/>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4199A027-6670-45AE-9407-162B9A56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E2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rsid w:val="006D244C"/>
    <w:rPr>
      <w:rFonts w:ascii="Arial" w:hAnsi="Arial"/>
      <w:lang w:val="en-GB"/>
    </w:rPr>
  </w:style>
  <w:style w:type="character" w:customStyle="1" w:styleId="Heading7Char">
    <w:name w:val="Heading 7 Char"/>
    <w:basedOn w:val="DefaultParagraphFont"/>
    <w:link w:val="Heading7"/>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qFormat/>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table" w:customStyle="1" w:styleId="TableGrid20">
    <w:name w:val="Table Grid2"/>
    <w:basedOn w:val="TableNormal"/>
    <w:next w:val="TableGrid"/>
    <w:rsid w:val="006D2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sid w:val="0099249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19374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8346701">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351186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49394">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147314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591584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hyperlink" Target="https://www.3gpp.org/ftp/tsg_ran/WG1_RL1/TSGR1_112/Docs/R1-2300029.zip" TargetMode="External"/><Relationship Id="rId3" Type="http://schemas.openxmlformats.org/officeDocument/2006/relationships/customXml" Target="../customXml/item3.xml"/><Relationship Id="rId21" Type="http://schemas.openxmlformats.org/officeDocument/2006/relationships/hyperlink" Target="https://www.3gpp.org/ftp/tsg_ran/WG1_RL1/TSGR1_109-e/Docs/R1-220550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yperlink" Target="https://www.3gpp.org/ftp/tsg_ran/WG1_RL1/TSGR1_111/Docs/R1-2212879.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s://www.3gpp.org/ftp/TSG_RAN/TSG_RAN/TSGR_96/Docs/RP-22188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1/Docs/R1-2211285.zip"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RAN/WG1_RL1/TSGR1_111/Docs/R1-2210819.zip" TargetMode="External"/><Relationship Id="rId28" Type="http://schemas.openxmlformats.org/officeDocument/2006/relationships/hyperlink" Target="https://www.3gpp.org/ftp/tsg_ran/WG1_RL1/TSGR1_112/Docs/R1-2300325.zip" TargetMode="External"/><Relationship Id="rId10" Type="http://schemas.openxmlformats.org/officeDocument/2006/relationships/webSettings" Target="webSettings.xml"/><Relationship Id="rId19" Type="http://schemas.openxmlformats.org/officeDocument/2006/relationships/hyperlink" Target="https://www.3gpp.org/ftp/TSG_RAN/TSG_RAN/TSGR_97e/Docs/RP-22225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1_RL1/TSGR1_110b-e/Docs/R1-2210723.zip" TargetMode="External"/><Relationship Id="rId27" Type="http://schemas.openxmlformats.org/officeDocument/2006/relationships/hyperlink" Target="https://www.3gpp.org/ftp/tsg_ran/WG1_RL1/TSGR1_112/Docs/R1-2300317.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5AIRPNAIUNRU-1830940522-19090</_dlc_DocId>
    <_dlc_DocIdUrl xmlns="71c5aaf6-e6ce-465b-b873-5148d2a4c105">
      <Url>https://nokia.sharepoint.com/sites/c5g/5gradio/_layouts/15/DocIdRedir.aspx?ID=5AIRPNAIUNRU-1830940522-19090</Url>
      <Description>5AIRPNAIUNRU-1830940522-19090</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C68F64B6-7118-465C-BC03-A8A4754AC109}">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71c5aaf6-e6ce-465b-b873-5148d2a4c105"/>
    <ds:schemaRef ds:uri="http://schemas.microsoft.com/office/2006/documentManagement/types"/>
    <ds:schemaRef ds:uri="http://purl.org/dc/terms/"/>
    <ds:schemaRef ds:uri="http://schemas.microsoft.com/office/2006/metadata/properties"/>
    <ds:schemaRef ds:uri="http://schemas.openxmlformats.org/package/2006/metadata/core-properties"/>
    <ds:schemaRef ds:uri="3b34c8f0-1ef5-4d1e-bb66-517ce7fe7356"/>
    <ds:schemaRef ds:uri="http://purl.org/dc/dcmitype/"/>
    <ds:schemaRef ds:uri="http://schemas.microsoft.com/office/infopath/2007/PartnerControls"/>
    <ds:schemaRef ds:uri="ebabf6ce-2443-438c-9946-ecc878e7654a"/>
    <ds:schemaRef ds:uri="95d2e41d-1f11-4347-bb1c-11d6a32975dd"/>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4484</TotalTime>
  <Pages>5</Pages>
  <Words>2151</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14384</CharactersWithSpaces>
  <SharedDoc>false</SharedDoc>
  <HLinks>
    <vt:vector size="36" baseType="variant">
      <vt:variant>
        <vt:i4>1638501</vt:i4>
      </vt:variant>
      <vt:variant>
        <vt:i4>15</vt:i4>
      </vt:variant>
      <vt:variant>
        <vt:i4>0</vt:i4>
      </vt:variant>
      <vt:variant>
        <vt:i4>5</vt:i4>
      </vt:variant>
      <vt:variant>
        <vt:lpwstr>https://www.3gpp.org/ftp/tsg_ran/WG1_RL1/TSGR1_109-e/Docs/R1-2205488.zip</vt:lpwstr>
      </vt:variant>
      <vt:variant>
        <vt:lpwstr/>
      </vt:variant>
      <vt:variant>
        <vt:i4>1638501</vt:i4>
      </vt:variant>
      <vt:variant>
        <vt:i4>12</vt:i4>
      </vt:variant>
      <vt:variant>
        <vt:i4>0</vt:i4>
      </vt:variant>
      <vt:variant>
        <vt:i4>5</vt:i4>
      </vt:variant>
      <vt:variant>
        <vt:lpwstr>https://www.3gpp.org/ftp/tsg_ran/WG1_RL1/TSGR1_109-e/Docs/R1-2205488.zip</vt:lpwstr>
      </vt:variant>
      <vt:variant>
        <vt:lpwstr/>
      </vt:variant>
      <vt:variant>
        <vt:i4>1638501</vt:i4>
      </vt:variant>
      <vt:variant>
        <vt:i4>9</vt:i4>
      </vt:variant>
      <vt:variant>
        <vt:i4>0</vt:i4>
      </vt:variant>
      <vt:variant>
        <vt:i4>5</vt:i4>
      </vt:variant>
      <vt:variant>
        <vt:lpwstr>https://www.3gpp.org/ftp/tsg_ran/WG1_RL1/TSGR1_109-e/Docs/R1-2205488.zip</vt:lpwstr>
      </vt:variant>
      <vt:variant>
        <vt:lpwstr/>
      </vt:variant>
      <vt:variant>
        <vt:i4>1638501</vt:i4>
      </vt:variant>
      <vt:variant>
        <vt:i4>6</vt:i4>
      </vt:variant>
      <vt:variant>
        <vt:i4>0</vt:i4>
      </vt:variant>
      <vt:variant>
        <vt:i4>5</vt:i4>
      </vt:variant>
      <vt:variant>
        <vt:lpwstr>https://www.3gpp.org/ftp/tsg_ran/WG1_RL1/TSGR1_109-e/Docs/R1-2205488.zip</vt:lpwstr>
      </vt:variant>
      <vt:variant>
        <vt:lpwstr/>
      </vt:variant>
      <vt:variant>
        <vt:i4>1638501</vt:i4>
      </vt:variant>
      <vt:variant>
        <vt:i4>3</vt:i4>
      </vt:variant>
      <vt:variant>
        <vt:i4>0</vt:i4>
      </vt:variant>
      <vt:variant>
        <vt:i4>5</vt:i4>
      </vt:variant>
      <vt:variant>
        <vt:lpwstr>https://www.3gpp.org/ftp/tsg_ran/WG1_RL1/TSGR1_109-e/Docs/R1-2205488.zip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Karri</cp:lastModifiedBy>
  <cp:revision>6</cp:revision>
  <cp:lastPrinted>2016-06-26T04:35:00Z</cp:lastPrinted>
  <dcterms:created xsi:type="dcterms:W3CDTF">2022-03-31T09:16:00Z</dcterms:created>
  <dcterms:modified xsi:type="dcterms:W3CDTF">2023-02-17T14:47:00Z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b886f7e3-97c0-4c62-9a2c-97e9607e97ba</vt:lpwstr>
  </property>
</Properties>
</file>